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4a5" w14:textId="3084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июня 2015 года № А-6/261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сентября 2016 года № А-10/444. Зарегистрировано Департаментом юстиции Акмолинской области 24 октября 2016 года № 5580. Утратило силу постановлением акимата Акмолинской области от 3 февраля 2020 года № А-2/41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"Назначение жилищной помощи" от 5 июня 2015 года № А-6/261 (зарегистрировано в Реестре государственной регистрации нормативных правовых актов № 4868, опубликовано 28 июля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