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6c03" w14:textId="3146c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Акмолинской области от 24 сентября 2014 года № А-8/457 "Об утверждении положения о государственном учреждении "Управление энергетики и жилищно-коммунального хозяйства Акмолинской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29 марта 2016 года № А-5/136. Зарегистрировано Департаментом юстиции Акмолинской области 26 апреля 2016 года № 5319. Утратило силу постановлением акимата Акмолинской области от 17 мая 2016 года № А-6/219</w:t>
      </w:r>
    </w:p>
    <w:p>
      <w:pPr>
        <w:spacing w:after="0"/>
        <w:ind w:left="0"/>
        <w:jc w:val="left"/>
      </w:pPr>
      <w:r>
        <w:rPr>
          <w:rFonts w:ascii="Times New Roman"/>
          <w:b w:val="false"/>
          <w:i w:val="false"/>
          <w:color w:val="ff0000"/>
          <w:sz w:val="28"/>
        </w:rPr>
        <w:t xml:space="preserve">      Сноска. Утратило силу постановлением акимата Акмолинской области от 17.05.2016 </w:t>
      </w:r>
      <w:r>
        <w:rPr>
          <w:rFonts w:ascii="Times New Roman"/>
          <w:b w:val="false"/>
          <w:i w:val="false"/>
          <w:color w:val="ff0000"/>
          <w:sz w:val="28"/>
        </w:rPr>
        <w:t>№ А-6/219</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Республики Казахстан", акимат Акмолинской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Акмолинской области "Об утверждении положения о государственном учреждении "Управление энергетики и жилищно-коммунального хозяйства Акмолинской области" от 24 сентября 2014 года № А-8/457 (зарегистрировано в Реестре государственной регистрации нормативных правовых актов № 4430, опубликовано 13 ноября 2014 года в информационно-правовой системе "Әділет") следующее изменение:</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положении</w:t>
      </w:r>
      <w:r>
        <w:rPr>
          <w:rFonts w:ascii="Times New Roman"/>
          <w:b w:val="false"/>
          <w:i w:val="false"/>
          <w:color w:val="000000"/>
          <w:sz w:val="28"/>
        </w:rPr>
        <w:t xml:space="preserve"> о государственном учреждении "Управление энергетики и жилищно-коммунального хозяйства Акмолинской области",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w:t>
      </w:r>
      <w:r>
        <w:rPr>
          <w:rFonts w:ascii="Times New Roman"/>
          <w:b w:val="false"/>
          <w:i w:val="false"/>
          <w:color w:val="000000"/>
          <w:sz w:val="28"/>
        </w:rPr>
        <w:t>"15. Функции:</w:t>
      </w:r>
      <w:r>
        <w:br/>
      </w:r>
      <w:r>
        <w:rPr>
          <w:rFonts w:ascii="Times New Roman"/>
          <w:b w:val="false"/>
          <w:i w:val="false"/>
          <w:color w:val="000000"/>
          <w:sz w:val="28"/>
        </w:rPr>
        <w:t>
      1) обеспечение организации мероприятий по сохранению и надлежащей эксплуатации жилищного фонда;</w:t>
      </w:r>
      <w:r>
        <w:br/>
      </w:r>
      <w:r>
        <w:rPr>
          <w:rFonts w:ascii="Times New Roman"/>
          <w:b w:val="false"/>
          <w:i w:val="false"/>
          <w:color w:val="000000"/>
          <w:sz w:val="28"/>
        </w:rPr>
        <w:t>
      2) внесение предложений по согласованию инвестиционных программ (проектов) субъектов естественных монополий, оказывающих регулируемые услуги на соответствующей территории административно-территориальной единицы, включенных в местный раздел Государственного регистра субъектов естественных монополий в сфере энергетики и жилищно-коммунального хозяйства;</w:t>
      </w:r>
      <w:r>
        <w:br/>
      </w:r>
      <w:r>
        <w:rPr>
          <w:rFonts w:ascii="Times New Roman"/>
          <w:b w:val="false"/>
          <w:i w:val="false"/>
          <w:color w:val="000000"/>
          <w:sz w:val="28"/>
        </w:rPr>
        <w:t>
      3) проведение анализа информаций об исполнении инвестиционных программ (проектов) субъектов естественных монополий, являющихся государственными коммунальными предприятиями, включенных в местный раздел Государственного регистра субъектов естественных монополий, в целях повышения качества и надежности предоставляемых регулируемых услуг (товаров, работ);</w:t>
      </w:r>
      <w:r>
        <w:br/>
      </w:r>
      <w:r>
        <w:rPr>
          <w:rFonts w:ascii="Times New Roman"/>
          <w:b w:val="false"/>
          <w:i w:val="false"/>
          <w:color w:val="000000"/>
          <w:sz w:val="28"/>
        </w:rPr>
        <w:t>
      4)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по перечню, утвержденному уполномоченным органом;</w:t>
      </w:r>
      <w:r>
        <w:br/>
      </w:r>
      <w:r>
        <w:rPr>
          <w:rFonts w:ascii="Times New Roman"/>
          <w:b w:val="false"/>
          <w:i w:val="false"/>
          <w:color w:val="000000"/>
          <w:sz w:val="28"/>
        </w:rPr>
        <w:t>
      5) осуществление контроля за соблюдением требований безопасной эксплуатации газопотребляющих систем и газового оборудования бытовых и коммунально-бытовых потребителей;</w:t>
      </w:r>
      <w:r>
        <w:br/>
      </w:r>
      <w:r>
        <w:rPr>
          <w:rFonts w:ascii="Times New Roman"/>
          <w:b w:val="false"/>
          <w:i w:val="false"/>
          <w:color w:val="000000"/>
          <w:sz w:val="28"/>
        </w:rPr>
        <w:t>
      6) представление в уполномоченный орган прогноз потребления сжиженного нефтяного газа на территории области;</w:t>
      </w:r>
      <w:r>
        <w:br/>
      </w:r>
      <w:r>
        <w:rPr>
          <w:rFonts w:ascii="Times New Roman"/>
          <w:b w:val="false"/>
          <w:i w:val="false"/>
          <w:color w:val="000000"/>
          <w:sz w:val="28"/>
        </w:rPr>
        <w:t>
      7) представление в уполномоченный орган сведений о реализации и потреблении сжиженного нефтяного газа на территории области;</w:t>
      </w:r>
      <w:r>
        <w:br/>
      </w:r>
      <w:r>
        <w:rPr>
          <w:rFonts w:ascii="Times New Roman"/>
          <w:b w:val="false"/>
          <w:i w:val="false"/>
          <w:color w:val="000000"/>
          <w:sz w:val="28"/>
        </w:rPr>
        <w:t>
      8) осуществление в пределах своей компетенции мониторинга за соблюдением нормативов энергопотребления государственными учреждениями;</w:t>
      </w:r>
      <w:r>
        <w:br/>
      </w:r>
      <w:r>
        <w:rPr>
          <w:rFonts w:ascii="Times New Roman"/>
          <w:b w:val="false"/>
          <w:i w:val="false"/>
          <w:color w:val="000000"/>
          <w:sz w:val="28"/>
        </w:rPr>
        <w:t>
      9) осуществление контроля за эксплуатацией и техническим состоянием котельных, тепловых сетей и теплоиспользующих установок потребителей;</w:t>
      </w:r>
      <w:r>
        <w:br/>
      </w:r>
      <w:r>
        <w:rPr>
          <w:rFonts w:ascii="Times New Roman"/>
          <w:b w:val="false"/>
          <w:i w:val="false"/>
          <w:color w:val="000000"/>
          <w:sz w:val="28"/>
        </w:rPr>
        <w:t>
      10) контроль за подготовкой и осуществлением ремонтно-восстановительных работ по котельным, тепловым сетям и их функционированием в осенне-зимний период;</w:t>
      </w:r>
      <w:r>
        <w:br/>
      </w:r>
      <w:r>
        <w:rPr>
          <w:rFonts w:ascii="Times New Roman"/>
          <w:b w:val="false"/>
          <w:i w:val="false"/>
          <w:color w:val="000000"/>
          <w:sz w:val="28"/>
        </w:rPr>
        <w:t>
      11) обеспечение безопасности объектов кондоминиума организациями, эксплуатирующими опасные технические устройства (лифты, эскалаторы, фуникулеры), смонтированные на объектах коммунально-бытового назначения (жилищный фонд, развлекательные, торговые и гостиничные комплексы);</w:t>
      </w:r>
      <w:r>
        <w:br/>
      </w:r>
      <w:r>
        <w:rPr>
          <w:rFonts w:ascii="Times New Roman"/>
          <w:b w:val="false"/>
          <w:i w:val="false"/>
          <w:color w:val="000000"/>
          <w:sz w:val="28"/>
        </w:rPr>
        <w:t>
      12) разработка правил подготовки и проведения отопительного сезона;</w:t>
      </w:r>
      <w:r>
        <w:br/>
      </w:r>
      <w:r>
        <w:rPr>
          <w:rFonts w:ascii="Times New Roman"/>
          <w:b w:val="false"/>
          <w:i w:val="false"/>
          <w:color w:val="000000"/>
          <w:sz w:val="28"/>
        </w:rPr>
        <w:t>
      13) контроль за безопасной эксплуатацией опасных технических устройств, работающих под давлением более 0,07 мегапаскаля или при температуре нагрева воды более 115 градусов Цельсия, грузоподъемных механизмов, эскалаторов, канатных дорог, фуникулеров, лифтов на объектах жилищно-коммунального хозяйства;</w:t>
      </w:r>
      <w:r>
        <w:br/>
      </w:r>
      <w:r>
        <w:rPr>
          <w:rFonts w:ascii="Times New Roman"/>
          <w:b w:val="false"/>
          <w:i w:val="false"/>
          <w:color w:val="000000"/>
          <w:sz w:val="28"/>
        </w:rPr>
        <w:t>
      14) осуществление постановки на учет и снятие с учета опасных технических устройств объектов жилищно-коммунального хозяйства;</w:t>
      </w:r>
      <w:r>
        <w:br/>
      </w:r>
      <w:r>
        <w:rPr>
          <w:rFonts w:ascii="Times New Roman"/>
          <w:b w:val="false"/>
          <w:i w:val="false"/>
          <w:color w:val="000000"/>
          <w:sz w:val="28"/>
        </w:rPr>
        <w:t>
      15) осуществлениеконтроля за соблюдением требований безопасной эксплуатации бытовых баллонов и объектов систем газоснабжения;</w:t>
      </w:r>
      <w:r>
        <w:br/>
      </w:r>
      <w:r>
        <w:rPr>
          <w:rFonts w:ascii="Times New Roman"/>
          <w:b w:val="false"/>
          <w:i w:val="false"/>
          <w:color w:val="000000"/>
          <w:sz w:val="28"/>
        </w:rPr>
        <w:t>
      16) разработка правил содержания и защиты зеленых насаждений, правил благоустройства территорий городов и населенных пунктов, разработанных на основании типовых правил, утверждаемых уполномоченным органом по делам архитектуры, градостроительства и строительства;</w:t>
      </w:r>
      <w:r>
        <w:br/>
      </w:r>
      <w:r>
        <w:rPr>
          <w:rFonts w:ascii="Times New Roman"/>
          <w:b w:val="false"/>
          <w:i w:val="false"/>
          <w:color w:val="000000"/>
          <w:sz w:val="28"/>
        </w:rPr>
        <w:t>
      17) разработка проектов постановлений об утверждении норм потребления коммунальных услуг по газоснабжению, электроснабжению, водоснабжению, водоотведению и теплоснабжению для потребителей, не имеющих приборов учета;</w:t>
      </w:r>
      <w:r>
        <w:br/>
      </w:r>
      <w:r>
        <w:rPr>
          <w:rFonts w:ascii="Times New Roman"/>
          <w:b w:val="false"/>
          <w:i w:val="false"/>
          <w:color w:val="000000"/>
          <w:sz w:val="28"/>
        </w:rPr>
        <w:t>
      18) обеспечение включения мероприятий по энергосбережению и повышению энергоэффективности в программу развития соответствующей территории;</w:t>
      </w:r>
      <w:r>
        <w:br/>
      </w:r>
      <w:r>
        <w:rPr>
          <w:rFonts w:ascii="Times New Roman"/>
          <w:b w:val="false"/>
          <w:i w:val="false"/>
          <w:color w:val="000000"/>
          <w:sz w:val="28"/>
        </w:rPr>
        <w:t>
      19) разработка правил предоставления коммунальных услуг;</w:t>
      </w:r>
      <w:r>
        <w:br/>
      </w:r>
      <w:r>
        <w:rPr>
          <w:rFonts w:ascii="Times New Roman"/>
          <w:b w:val="false"/>
          <w:i w:val="false"/>
          <w:color w:val="000000"/>
          <w:sz w:val="28"/>
        </w:rPr>
        <w:t>
      20) разработка норм потребления товарного и сжиженного нефтяного газа;</w:t>
      </w:r>
      <w:r>
        <w:br/>
      </w:r>
      <w:r>
        <w:rPr>
          <w:rFonts w:ascii="Times New Roman"/>
          <w:b w:val="false"/>
          <w:i w:val="false"/>
          <w:color w:val="000000"/>
          <w:sz w:val="28"/>
        </w:rPr>
        <w:t>
      21) разработка правил расчета норм образования и накопления коммунальных отходов.".</w:t>
      </w:r>
      <w:r>
        <w:br/>
      </w:r>
      <w:r>
        <w:rPr>
          <w:rFonts w:ascii="Times New Roman"/>
          <w:b w:val="false"/>
          <w:i w:val="false"/>
          <w:color w:val="000000"/>
          <w:sz w:val="28"/>
        </w:rPr>
        <w:t>
      </w:t>
      </w:r>
      <w:r>
        <w:rPr>
          <w:rFonts w:ascii="Times New Roman"/>
          <w:b w:val="false"/>
          <w:i w:val="false"/>
          <w:color w:val="000000"/>
          <w:sz w:val="28"/>
        </w:rPr>
        <w:t>2. Утвердить прилагаемый текст вносимого изменения в положение о государственном учреждении "Управление энергетики и жилищно-коммунального хозяйства Акмолинской области".</w:t>
      </w:r>
      <w:r>
        <w:br/>
      </w:r>
      <w:r>
        <w:rPr>
          <w:rFonts w:ascii="Times New Roman"/>
          <w:b w:val="false"/>
          <w:i w:val="false"/>
          <w:color w:val="000000"/>
          <w:sz w:val="28"/>
        </w:rPr>
        <w:t>
      </w:t>
      </w:r>
      <w:r>
        <w:rPr>
          <w:rFonts w:ascii="Times New Roman"/>
          <w:b w:val="false"/>
          <w:i w:val="false"/>
          <w:color w:val="000000"/>
          <w:sz w:val="28"/>
        </w:rPr>
        <w:t>3. Государственному учреждению "Управление энергетики и жилищно-коммунального хозяйства Акмолинской области" обеспечить извещение органов юстиции о внесенном изменении в порядке и сроки, установленные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 Контроль за исполнением настоящего постановления возложить на заместителя акима Акмолинской области Балахонцева В.Н.</w:t>
      </w:r>
      <w:r>
        <w:br/>
      </w:r>
      <w:r>
        <w:rPr>
          <w:rFonts w:ascii="Times New Roman"/>
          <w:b w:val="false"/>
          <w:i w:val="false"/>
          <w:color w:val="000000"/>
          <w:sz w:val="28"/>
        </w:rPr>
        <w:t>
      </w:t>
      </w:r>
      <w:r>
        <w:rPr>
          <w:rFonts w:ascii="Times New Roman"/>
          <w:b w:val="false"/>
          <w:i w:val="false"/>
          <w:color w:val="000000"/>
          <w:sz w:val="28"/>
        </w:rPr>
        <w:t>5.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w:t>
            </w:r>
            <w:r>
              <w:rPr>
                <w:rFonts w:ascii="Times New Roman"/>
                <w:b w:val="false"/>
                <w:i/>
                <w:color w:val="000000"/>
                <w:sz w:val="20"/>
              </w:rPr>
              <w:t>ким</w:t>
            </w:r>
            <w:r>
              <w:rPr>
                <w:rFonts w:ascii="Times New Roman"/>
                <w:b w:val="false"/>
                <w:i w:val="false"/>
                <w:color w:val="000000"/>
                <w:sz w:val="20"/>
              </w:rPr>
              <w:t xml:space="preserve"> </w:t>
            </w:r>
            <w:r>
              <w:rPr>
                <w:rFonts w:ascii="Times New Roman"/>
                <w:b w:val="false"/>
                <w:i/>
                <w:color w:val="000000"/>
                <w:sz w:val="20"/>
              </w:rPr>
              <w:t xml:space="preserve">Акмолинской </w:t>
            </w:r>
            <w:r>
              <w:rPr>
                <w:rFonts w:ascii="Times New Roman"/>
                <w:b w:val="false"/>
                <w:i/>
                <w:color w:val="000000"/>
                <w:sz w:val="20"/>
              </w:rPr>
              <w:t>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29 марта2016 года</w:t>
            </w:r>
            <w:r>
              <w:br/>
            </w:r>
            <w:r>
              <w:rPr>
                <w:rFonts w:ascii="Times New Roman"/>
                <w:b w:val="false"/>
                <w:i w:val="false"/>
                <w:color w:val="000000"/>
                <w:sz w:val="20"/>
              </w:rPr>
              <w:t>№ А-5/136</w:t>
            </w:r>
          </w:p>
        </w:tc>
      </w:tr>
    </w:tbl>
    <w:bookmarkStart w:name="z11" w:id="0"/>
    <w:p>
      <w:pPr>
        <w:spacing w:after="0"/>
        <w:ind w:left="0"/>
        <w:jc w:val="left"/>
      </w:pPr>
      <w:r>
        <w:rPr>
          <w:rFonts w:ascii="Times New Roman"/>
          <w:b/>
          <w:i w:val="false"/>
          <w:color w:val="000000"/>
        </w:rPr>
        <w:t xml:space="preserve"> Текст вносимого изменения в положение о государственном учреждении</w:t>
      </w:r>
      <w:r>
        <w:br/>
      </w:r>
      <w:r>
        <w:rPr>
          <w:rFonts w:ascii="Times New Roman"/>
          <w:b/>
          <w:i w:val="false"/>
          <w:color w:val="000000"/>
        </w:rPr>
        <w:t>"Управление энергетики и жилищно-коммунального хозяйства Акмолинской области"</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пункт 15</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"15. Функции:</w:t>
      </w:r>
      <w:r>
        <w:br/>
      </w:r>
      <w:r>
        <w:rPr>
          <w:rFonts w:ascii="Times New Roman"/>
          <w:b w:val="false"/>
          <w:i w:val="false"/>
          <w:color w:val="000000"/>
          <w:sz w:val="28"/>
        </w:rPr>
        <w:t>
      1) обеспечение организации мероприятий по сохранению и надлежащей эксплуатации жилищного фонда;</w:t>
      </w:r>
      <w:r>
        <w:br/>
      </w:r>
      <w:r>
        <w:rPr>
          <w:rFonts w:ascii="Times New Roman"/>
          <w:b w:val="false"/>
          <w:i w:val="false"/>
          <w:color w:val="000000"/>
          <w:sz w:val="28"/>
        </w:rPr>
        <w:t>
      2) внесение предложений по согласованию инвестиционных программ (проектов) субъектов естественных монополий, оказывающих регулируемые услуги на соответствующей территории административно-территориальной единицы, включенных в местный раздел Государственного регистра субъектов естественных монополий в сфере энергетики и жилищно-коммунального хозяйства;</w:t>
      </w:r>
      <w:r>
        <w:br/>
      </w:r>
      <w:r>
        <w:rPr>
          <w:rFonts w:ascii="Times New Roman"/>
          <w:b w:val="false"/>
          <w:i w:val="false"/>
          <w:color w:val="000000"/>
          <w:sz w:val="28"/>
        </w:rPr>
        <w:t>
      3) проведение анализа информаций об исполнении инвестиционных программ (проектов) субъектов естественных монополий, являющихся государственными коммунальными предприятиями, включенных в местный раздел Государственного регистра субъектов естественных монополий, в целях повышения качества и надежности предоставляемых регулируемых услуг (товаров, работ);</w:t>
      </w:r>
      <w:r>
        <w:br/>
      </w:r>
      <w:r>
        <w:rPr>
          <w:rFonts w:ascii="Times New Roman"/>
          <w:b w:val="false"/>
          <w:i w:val="false"/>
          <w:color w:val="000000"/>
          <w:sz w:val="28"/>
        </w:rPr>
        <w:t>
      4)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по перечню, утвержденному уполномоченным органом;</w:t>
      </w:r>
      <w:r>
        <w:br/>
      </w:r>
      <w:r>
        <w:rPr>
          <w:rFonts w:ascii="Times New Roman"/>
          <w:b w:val="false"/>
          <w:i w:val="false"/>
          <w:color w:val="000000"/>
          <w:sz w:val="28"/>
        </w:rPr>
        <w:t>
      5) осуществление контроля за соблюдением требований безопасной эксплуатации газопотребляющих систем и газового оборудования бытовых и коммунально-бытовых потребителей;</w:t>
      </w:r>
      <w:r>
        <w:br/>
      </w:r>
      <w:r>
        <w:rPr>
          <w:rFonts w:ascii="Times New Roman"/>
          <w:b w:val="false"/>
          <w:i w:val="false"/>
          <w:color w:val="000000"/>
          <w:sz w:val="28"/>
        </w:rPr>
        <w:t>
      6) представление в уполномоченный орган прогноз потребления сжиженного нефтяного газа на территории области;</w:t>
      </w:r>
      <w:r>
        <w:br/>
      </w:r>
      <w:r>
        <w:rPr>
          <w:rFonts w:ascii="Times New Roman"/>
          <w:b w:val="false"/>
          <w:i w:val="false"/>
          <w:color w:val="000000"/>
          <w:sz w:val="28"/>
        </w:rPr>
        <w:t>
      7) представление в уполномоченный орган сведений о реализации и потреблении сжиженного нефтяного газа на территории области;</w:t>
      </w:r>
      <w:r>
        <w:br/>
      </w:r>
      <w:r>
        <w:rPr>
          <w:rFonts w:ascii="Times New Roman"/>
          <w:b w:val="false"/>
          <w:i w:val="false"/>
          <w:color w:val="000000"/>
          <w:sz w:val="28"/>
        </w:rPr>
        <w:t>
      8) осуществление в пределах своей компетенции мониторинга за соблюдением нормативов энергопотребления государственными учреждениями;</w:t>
      </w:r>
      <w:r>
        <w:br/>
      </w:r>
      <w:r>
        <w:rPr>
          <w:rFonts w:ascii="Times New Roman"/>
          <w:b w:val="false"/>
          <w:i w:val="false"/>
          <w:color w:val="000000"/>
          <w:sz w:val="28"/>
        </w:rPr>
        <w:t>
      9) осуществление контроля за эксплуатацией и техническим состоянием котельных, тепловых сетей и теплоиспользующих установок потребителей;</w:t>
      </w:r>
      <w:r>
        <w:br/>
      </w:r>
      <w:r>
        <w:rPr>
          <w:rFonts w:ascii="Times New Roman"/>
          <w:b w:val="false"/>
          <w:i w:val="false"/>
          <w:color w:val="000000"/>
          <w:sz w:val="28"/>
        </w:rPr>
        <w:t>
      10) контроль за подготовкой и осуществлением ремонтно-восстановительных работ по котельным, тепловым сетям и их функционированием в осенне-зимний период;</w:t>
      </w:r>
      <w:r>
        <w:br/>
      </w:r>
      <w:r>
        <w:rPr>
          <w:rFonts w:ascii="Times New Roman"/>
          <w:b w:val="false"/>
          <w:i w:val="false"/>
          <w:color w:val="000000"/>
          <w:sz w:val="28"/>
        </w:rPr>
        <w:t>
      11) обеспечение безопасности объектов кондоминиума организациями, эксплуатирующими опасные технические устройства (лифты, эскалаторы, фуникулеры), смонтированные на объектах коммунально-бытового назначения (жилищный фонд, развлекательные, торговые и гостиничные комплексы);</w:t>
      </w:r>
      <w:r>
        <w:br/>
      </w:r>
      <w:r>
        <w:rPr>
          <w:rFonts w:ascii="Times New Roman"/>
          <w:b w:val="false"/>
          <w:i w:val="false"/>
          <w:color w:val="000000"/>
          <w:sz w:val="28"/>
        </w:rPr>
        <w:t>
      12) разработка правил подготовки и проведения отопительного сезона;</w:t>
      </w:r>
      <w:r>
        <w:br/>
      </w:r>
      <w:r>
        <w:rPr>
          <w:rFonts w:ascii="Times New Roman"/>
          <w:b w:val="false"/>
          <w:i w:val="false"/>
          <w:color w:val="000000"/>
          <w:sz w:val="28"/>
        </w:rPr>
        <w:t>
      13) контроль за безопасной эксплуатацией опасных технических устройств, работающих под давлением более 0,07 мегапаскаля или при температуре нагрева воды более 115 градусов Цельсия, грузоподъемных механизмов, эскалаторов, канатных дорог, фуникулеров, лифтов на объектах жилищно-коммунального хозяйства;</w:t>
      </w:r>
      <w:r>
        <w:br/>
      </w:r>
      <w:r>
        <w:rPr>
          <w:rFonts w:ascii="Times New Roman"/>
          <w:b w:val="false"/>
          <w:i w:val="false"/>
          <w:color w:val="000000"/>
          <w:sz w:val="28"/>
        </w:rPr>
        <w:t>
      14) осуществление постановки на учет и снятие с учета опасных технических устройств объектов жилищно-коммунального хозяйства;</w:t>
      </w:r>
      <w:r>
        <w:br/>
      </w:r>
      <w:r>
        <w:rPr>
          <w:rFonts w:ascii="Times New Roman"/>
          <w:b w:val="false"/>
          <w:i w:val="false"/>
          <w:color w:val="000000"/>
          <w:sz w:val="28"/>
        </w:rPr>
        <w:t>
      15) осуществление контроля за соблюдением требований безопасной эксплуатации бытовых баллонов и объектов систем газоснабжения;</w:t>
      </w:r>
      <w:r>
        <w:br/>
      </w:r>
      <w:r>
        <w:rPr>
          <w:rFonts w:ascii="Times New Roman"/>
          <w:b w:val="false"/>
          <w:i w:val="false"/>
          <w:color w:val="000000"/>
          <w:sz w:val="28"/>
        </w:rPr>
        <w:t>
      16) разработка правил содержания и защиты зеленых насаждений, правил благоустройства территорий городов и населенных пунктов, разработанных на основании типовых правил, утверждаемых уполномоченным органом по делам архитектуры, градостроительства и строительства;</w:t>
      </w:r>
      <w:r>
        <w:br/>
      </w:r>
      <w:r>
        <w:rPr>
          <w:rFonts w:ascii="Times New Roman"/>
          <w:b w:val="false"/>
          <w:i w:val="false"/>
          <w:color w:val="000000"/>
          <w:sz w:val="28"/>
        </w:rPr>
        <w:t>
      17) разработка проектов постановлений об утверждении норм потребления коммунальных услуг по газоснабжению, электроснабжению, водоснабжению, водоотведению и теплоснабжению для потребителей, не имеющих приборов учета;</w:t>
      </w:r>
      <w:r>
        <w:br/>
      </w:r>
      <w:r>
        <w:rPr>
          <w:rFonts w:ascii="Times New Roman"/>
          <w:b w:val="false"/>
          <w:i w:val="false"/>
          <w:color w:val="000000"/>
          <w:sz w:val="28"/>
        </w:rPr>
        <w:t>
      18) обеспечение включения мероприятий по энергосбережению и повышению энергоэффективности в программу развития соответствующей территории;</w:t>
      </w:r>
      <w:r>
        <w:br/>
      </w:r>
      <w:r>
        <w:rPr>
          <w:rFonts w:ascii="Times New Roman"/>
          <w:b w:val="false"/>
          <w:i w:val="false"/>
          <w:color w:val="000000"/>
          <w:sz w:val="28"/>
        </w:rPr>
        <w:t>
      19) разработка правил предоставления коммунальных услуг;</w:t>
      </w:r>
      <w:r>
        <w:br/>
      </w:r>
      <w:r>
        <w:rPr>
          <w:rFonts w:ascii="Times New Roman"/>
          <w:b w:val="false"/>
          <w:i w:val="false"/>
          <w:color w:val="000000"/>
          <w:sz w:val="28"/>
        </w:rPr>
        <w:t>
      20) разработка норм потребления товарного и сжиженного нефтяного газа;</w:t>
      </w:r>
      <w:r>
        <w:br/>
      </w:r>
      <w:r>
        <w:rPr>
          <w:rFonts w:ascii="Times New Roman"/>
          <w:b w:val="false"/>
          <w:i w:val="false"/>
          <w:color w:val="000000"/>
          <w:sz w:val="28"/>
        </w:rPr>
        <w:t>
      21) разработка правил расчета норм образования и накопления коммунальных отходов.".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