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0939" w14:textId="8da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мая 2016 года № 102-959. Зарегистрировано Департаментом юстиции города Астаны 17 июня 2016 года № 1030.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102-959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</w:t>
      </w:r>
      <w:r>
        <w:br/>
      </w:r>
      <w:r>
        <w:rPr>
          <w:rFonts w:ascii="Times New Roman"/>
          <w:b/>
          <w:i w:val="false"/>
          <w:color w:val="000000"/>
        </w:rPr>
        <w:t>субъектом агропромышленного комплекса при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вложениях"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 9-3/999 (зарегистрирован в Реестре государственной регистрации нормативных правовых актов за № 12520) (далее – Стандарт).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протокола заседания комиссии под председательством заместителя акима города Астаны по вопросам инвестиционного субсидирования с подписью секретаря комиссии и заверенная печатью.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1: оператором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субсидирования по возмещению части расходов, понесенных субъектом агропромышленного комплекса, при инвестиционных вложениях утвержденные Приказом Министра сельского хозяйства Республики Казахстан от 7 августа 2015 года № 9-3/726 (далее - Правила) определен акционерное общество "Казагромаркетинг" (далее - оператор), который сверяет полноту представленных услугополучателем документов и направляет членам Комиссии письменное уведомление о созыве заседания Комиссии.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и дата проведения заседания Комиссии определяется оператором по согласованию с председателем Комиссии. Максимально допустимое время для осуществления данной процедуры – в течение 12 (двенадцати)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оператор сверяет полноту представленных услугополучателем документов и направляет членам Комиссии письменное уведомление о созыве заседания Комиссии.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канцелярия услугодателя регистрирует письменное уведомление о созыве заседания Комиссии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в течение 3 (трех) дней.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письменного уведомления оператора.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услугодателя либо его заместитель передает письменное уведомление оператора руководителю отдела. Максимально допустимое время для осуществления данной процедуры – в течение 3 (трех) дней.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зарегистрированные документы услугополучателя с визой руководителя услугодателя для исполнения.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руководитель отдела определяет ответственного специалиста отдела. Максимально допустимое время для осуществления данной процедуры – в течение 3 (трех) дней.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специалист отдела в составе группы специалистов услугодателя согласно Правил осуществляет выезд для осмотра объекта услугополучателя и удостоверения в достижении загруженности производственных мощностей и направляет акт осмотра членам Комиссии. Максимально допустимое время для осуществления данной процедуры – в течение 7 (семи)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акт осмотра объекта услугополучателя.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Комиссия рассматривает пакет документов, предоставленных оператором, и оформляет решение об одобрении или отклонений заявки услугополучателя. Максимально допустимое время для осуществления данной процедуры – в течение 12 (двенадцати) рабочих дней.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Комиссии.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7: оператор направляет услугополучателю выписку из протокола заседания Комиссии с подписью секретаря Комиссии и заверенную печатью услугодателя. Максимально допустимое время для осуществления данной процедуры – в течение 3 (трех) рабочих дней после подписания протокола членами Комиссии.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выписка из протокола заседания Комиссии.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оператору.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и услугодателя через веб-портал "электронного правительства".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</w:tbl>
    <w:bookmarkStart w:name="z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