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a593" w14:textId="7eda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304. Зарегистрировано в Министерстве юстиции Республики Казахстан 13 февраля 2017 года № 14794.</w:t>
      </w:r>
    </w:p>
    <w:p>
      <w:pPr>
        <w:spacing w:after="0"/>
        <w:ind w:left="0"/>
        <w:jc w:val="left"/>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46,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48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Установить:</w:t>
      </w:r>
      <w:r>
        <w:br/>
      </w:r>
      <w:r>
        <w:rPr>
          <w:rFonts w:ascii="Times New Roman"/>
          <w:b w:val="false"/>
          <w:i w:val="false"/>
          <w:color w:val="000000"/>
          <w:sz w:val="28"/>
        </w:rPr>
        <w:t xml:space="preserve">
      </w:t>
      </w:r>
      <w:r>
        <w:rPr>
          <w:rFonts w:ascii="Times New Roman"/>
          <w:b w:val="false"/>
          <w:i w:val="false"/>
          <w:color w:val="000000"/>
          <w:sz w:val="28"/>
        </w:rPr>
        <w:t xml:space="preserve">1)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(далее – Нормативы)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 xml:space="preserve">4) требования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5) перечень облигаций международных финансовых организаций, приобретаемых страховыми холдингами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6) минимальный требуемый рейтинг для облигаций, приобретаемых страховыми холдингами, и перечень рейтинговых агентств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7) перечень финансовых инструментов (за исключением акций и долей участия в уставном капитале), приобретаемых страховыми (перестраховочными) организациями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3. Департаменту страхового надзора (Курманов Ж.Б.)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Контроль за исполнением настоящего постановления возложить на заместителя Председателя Национального Банка Республики Казахстан Смолякова О.А.</w:t>
      </w:r>
      <w:r>
        <w:br/>
      </w:r>
      <w:r>
        <w:rPr>
          <w:rFonts w:ascii="Times New Roman"/>
          <w:b w:val="false"/>
          <w:i w:val="false"/>
          <w:color w:val="000000"/>
          <w:sz w:val="28"/>
        </w:rPr>
        <w:t xml:space="preserve">
      </w:t>
      </w:r>
      <w:r>
        <w:rPr>
          <w:rFonts w:ascii="Times New Roman"/>
          <w:b w:val="false"/>
          <w:i w:val="false"/>
          <w:color w:val="000000"/>
          <w:sz w:val="28"/>
        </w:rPr>
        <w:t xml:space="preserve">6.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и части второй </w:t>
      </w:r>
      <w:r>
        <w:rPr>
          <w:rFonts w:ascii="Times New Roman"/>
          <w:b w:val="false"/>
          <w:i w:val="false"/>
          <w:color w:val="000000"/>
          <w:sz w:val="28"/>
        </w:rPr>
        <w:t xml:space="preserve">пункта 23 </w:t>
      </w:r>
      <w:r>
        <w:rPr>
          <w:rFonts w:ascii="Times New Roman"/>
          <w:b w:val="false"/>
          <w:i w:val="false"/>
          <w:color w:val="000000"/>
          <w:sz w:val="28"/>
        </w:rPr>
        <w:t>Нормативов, которые вводятся в действие с 1 января 2018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Н. Айдапкелов _____________________</w:t>
      </w:r>
      <w:r>
        <w:br/>
      </w:r>
      <w:r>
        <w:rPr>
          <w:rFonts w:ascii="Times New Roman"/>
          <w:b w:val="false"/>
          <w:i w:val="false"/>
          <w:color w:val="000000"/>
          <w:sz w:val="28"/>
        </w:rPr>
        <w:t>11 января 2017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24" w:id="0"/>
    <w:p>
      <w:pPr>
        <w:spacing w:after="0"/>
        <w:ind w:left="0"/>
        <w:jc w:val="left"/>
      </w:pPr>
      <w:r>
        <w:rPr>
          <w:rFonts w:ascii="Times New Roman"/>
          <w:b/>
          <w:i w:val="false"/>
          <w:color w:val="000000"/>
        </w:rPr>
        <w:t xml:space="preserve">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0"/>
    <w:p>
      <w:pPr>
        <w:spacing w:after="0"/>
        <w:ind w:left="0"/>
        <w:jc w:val="left"/>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Настоящие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(далее - Нормативы) разработаны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устанавливают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Нормативные значения для страховой (перестраховочной) организации и страховой группы устанавливаются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 и рассчитываются на основе отчетности, принимаемой Национальным Банком Республики Казахстан в соответствии со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65-2)</w:t>
      </w:r>
      <w:r>
        <w:rPr>
          <w:rFonts w:ascii="Times New Roman"/>
          <w:b w:val="false"/>
          <w:i w:val="false"/>
          <w:color w:val="000000"/>
          <w:sz w:val="28"/>
        </w:rPr>
        <w:t xml:space="preserve"> статьи 15 Закона Республики Казахстан "О Национальном Банке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2-1. Для целей расчета Нормативов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r>
        <w:br/>
      </w: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2-1 в соответствии с постановлением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Пруденциальные нормативы и иные обязательные к соблюдению нормы и лимиты для страховых (перестраховочных) организаций включают:</w:t>
      </w:r>
      <w:r>
        <w:br/>
      </w:r>
      <w:r>
        <w:rPr>
          <w:rFonts w:ascii="Times New Roman"/>
          <w:b w:val="false"/>
          <w:i w:val="false"/>
          <w:color w:val="000000"/>
          <w:sz w:val="28"/>
        </w:rPr>
        <w:t>
      минимальный размер уставного капитала;</w:t>
      </w:r>
      <w:r>
        <w:br/>
      </w:r>
      <w:r>
        <w:rPr>
          <w:rFonts w:ascii="Times New Roman"/>
          <w:b w:val="false"/>
          <w:i w:val="false"/>
          <w:color w:val="000000"/>
          <w:sz w:val="28"/>
        </w:rPr>
        <w:t xml:space="preserve">
      норматив достаточности маржи платежеспособности; </w:t>
      </w:r>
      <w:r>
        <w:br/>
      </w:r>
      <w:r>
        <w:rPr>
          <w:rFonts w:ascii="Times New Roman"/>
          <w:b w:val="false"/>
          <w:i w:val="false"/>
          <w:color w:val="000000"/>
          <w:sz w:val="28"/>
        </w:rPr>
        <w:t>
      норматив достаточности высоколиквидных активов;</w:t>
      </w:r>
      <w:r>
        <w:br/>
      </w:r>
      <w:r>
        <w:rPr>
          <w:rFonts w:ascii="Times New Roman"/>
          <w:b w:val="false"/>
          <w:i w:val="false"/>
          <w:color w:val="000000"/>
          <w:sz w:val="28"/>
        </w:rPr>
        <w:t>
      нормативы диверсификации активов;</w:t>
      </w:r>
      <w:r>
        <w:br/>
      </w:r>
      <w:r>
        <w:rPr>
          <w:rFonts w:ascii="Times New Roman"/>
          <w:b w:val="false"/>
          <w:i w:val="false"/>
          <w:color w:val="000000"/>
          <w:sz w:val="28"/>
        </w:rPr>
        <w:t>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w:t>
      </w:r>
      <w:r>
        <w:br/>
      </w:r>
      <w:r>
        <w:rPr>
          <w:rFonts w:ascii="Times New Roman"/>
          <w:b w:val="false"/>
          <w:i w:val="false"/>
          <w:color w:val="000000"/>
          <w:sz w:val="28"/>
        </w:rPr>
        <w:t>
      Дополнительные пруденциальные нормативы для страховых (перестраховочных) организаций включают:</w:t>
      </w:r>
      <w:r>
        <w:br/>
      </w:r>
      <w:r>
        <w:rPr>
          <w:rFonts w:ascii="Times New Roman"/>
          <w:b w:val="false"/>
          <w:i w:val="false"/>
          <w:color w:val="000000"/>
          <w:sz w:val="28"/>
        </w:rPr>
        <w:t>
      резерв непредвиденных рисков;</w:t>
      </w:r>
      <w:r>
        <w:br/>
      </w:r>
      <w:r>
        <w:rPr>
          <w:rFonts w:ascii="Times New Roman"/>
          <w:b w:val="false"/>
          <w:i w:val="false"/>
          <w:color w:val="000000"/>
          <w:sz w:val="28"/>
        </w:rPr>
        <w:t>
      стабилизационный резерв.</w:t>
      </w:r>
      <w:r>
        <w:br/>
      </w:r>
      <w:r>
        <w:rPr>
          <w:rFonts w:ascii="Times New Roman"/>
          <w:b w:val="false"/>
          <w:i w:val="false"/>
          <w:color w:val="000000"/>
          <w:sz w:val="28"/>
        </w:rPr>
        <w:t>
      Страховая (перестраховочная) организация обеспечивает ежедневное соблюдение норматива достаточности маржи платежеспособности, норматива достаточности высоколиквидных активов, нормативов диверсификации активов.</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Пруденциальным нормативом для страховых групп является норматив достаточности маржи платежеспособности страховой группы.</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Глава 2. Минимальный размер уставного капитала страховой (перестраховочной) организации</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Минимальный размер уставного капитала для вновь создаваемой страховой (перестраховочной) организации при получении лицензии на право осуществления страховой деятельности (деятельности по перестрахованию) устанавливается в соответствии с Минимальным размером уставного капитала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w:t>
      </w:r>
      <w:r>
        <w:br/>
      </w:r>
      <w:r>
        <w:rPr>
          <w:rFonts w:ascii="Times New Roman"/>
          <w:b w:val="false"/>
          <w:i w:val="false"/>
          <w:color w:val="000000"/>
          <w:sz w:val="28"/>
        </w:rPr>
        <w:t xml:space="preserve">
      </w:t>
      </w:r>
      <w:r>
        <w:rPr>
          <w:rFonts w:ascii="Times New Roman"/>
          <w:b w:val="false"/>
          <w:i w:val="false"/>
          <w:color w:val="000000"/>
          <w:sz w:val="28"/>
        </w:rPr>
        <w:t>6. Для целей расчета минимального размера уставного капитала используется размер месячного расчетного показателя, установленный законом о республиканском бюджете на соответствующий финансовый год, на день создания страховой (перестраховочной) организации.</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Глава 3. Норматив достаточности маржи платежеспособности</w:t>
      </w:r>
    </w:p>
    <w:bookmarkEnd w:id="3"/>
    <w:bookmarkStart w:name="z42" w:id="4"/>
    <w:p>
      <w:pPr>
        <w:spacing w:after="0"/>
        <w:ind w:left="0"/>
        <w:jc w:val="left"/>
      </w:pPr>
      <w:r>
        <w:rPr>
          <w:rFonts w:ascii="Times New Roman"/>
          <w:b/>
          <w:i w:val="false"/>
          <w:color w:val="000000"/>
        </w:rPr>
        <w:t xml:space="preserve"> Параграф 1. Расчет норматива достаточности маржи платежеспособности</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Норматив достаточности маржи платежеспособности рассчитывается как отношение фактической маржи платежеспособности к минимальному размеру маржи платежеспособности по формуле:</w:t>
      </w:r>
      <w:r>
        <w:br/>
      </w:r>
      <w:r>
        <w:rPr>
          <w:rFonts w:ascii="Times New Roman"/>
          <w:b w:val="false"/>
          <w:i w:val="false"/>
          <w:color w:val="000000"/>
          <w:sz w:val="28"/>
        </w:rPr>
        <w:t xml:space="preserve">
      </w:t>
      </w:r>
    </w:p>
    <w:p>
      <w:pPr>
        <w:spacing w:after="0"/>
        <w:ind w:left="0"/>
        <w:jc w:val="both"/>
      </w:pPr>
      <w:r>
        <w:drawing>
          <wp:inline distT="0" distB="0" distL="0" distR="0">
            <wp:extent cx="2679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Нмп - норматив достаточности маржи платежеспособности;</w:t>
      </w:r>
      <w:r>
        <w:br/>
      </w:r>
      <w:r>
        <w:rPr>
          <w:rFonts w:ascii="Times New Roman"/>
          <w:b w:val="false"/>
          <w:i w:val="false"/>
          <w:color w:val="000000"/>
          <w:sz w:val="28"/>
        </w:rPr>
        <w:t xml:space="preserve">
      </w:t>
      </w:r>
      <w:r>
        <w:rPr>
          <w:rFonts w:ascii="Times New Roman"/>
          <w:b w:val="false"/>
          <w:i w:val="false"/>
          <w:color w:val="000000"/>
          <w:sz w:val="28"/>
        </w:rPr>
        <w:t>ФМП - фактическая маржа платежеспособности;</w:t>
      </w:r>
      <w:r>
        <w:br/>
      </w:r>
      <w:r>
        <w:rPr>
          <w:rFonts w:ascii="Times New Roman"/>
          <w:b w:val="false"/>
          <w:i w:val="false"/>
          <w:color w:val="000000"/>
          <w:sz w:val="28"/>
        </w:rPr>
        <w:t xml:space="preserve">
      </w:t>
      </w:r>
      <w:r>
        <w:rPr>
          <w:rFonts w:ascii="Times New Roman"/>
          <w:b w:val="false"/>
          <w:i w:val="false"/>
          <w:color w:val="000000"/>
          <w:sz w:val="28"/>
        </w:rPr>
        <w:t>ММП – минимальный размер маржи платежеспособности.</w:t>
      </w:r>
      <w:r>
        <w:br/>
      </w:r>
      <w:r>
        <w:rPr>
          <w:rFonts w:ascii="Times New Roman"/>
          <w:b w:val="false"/>
          <w:i w:val="false"/>
          <w:color w:val="000000"/>
          <w:sz w:val="28"/>
        </w:rPr>
        <w:t xml:space="preserve">
      </w:t>
      </w:r>
      <w:r>
        <w:rPr>
          <w:rFonts w:ascii="Times New Roman"/>
          <w:b w:val="false"/>
          <w:i w:val="false"/>
          <w:color w:val="000000"/>
          <w:sz w:val="28"/>
        </w:rPr>
        <w:t>Норматив достаточности маржи платежеспособности страховой (перестраховочной) организации должен быть не менее 1 (единицы).</w:t>
      </w:r>
      <w:r>
        <w:br/>
      </w:r>
      <w:r>
        <w:rPr>
          <w:rFonts w:ascii="Times New Roman"/>
          <w:b w:val="false"/>
          <w:i w:val="false"/>
          <w:color w:val="000000"/>
          <w:sz w:val="28"/>
        </w:rPr>
        <w:t xml:space="preserve">
      </w:t>
      </w:r>
      <w:r>
        <w:rPr>
          <w:rFonts w:ascii="Times New Roman"/>
          <w:b w:val="false"/>
          <w:i w:val="false"/>
          <w:color w:val="000000"/>
          <w:sz w:val="28"/>
        </w:rPr>
        <w:t xml:space="preserve">8. Минимальный размер маржи платежеспособности рассчитывается в соответствии с </w:t>
      </w:r>
      <w:r>
        <w:rPr>
          <w:rFonts w:ascii="Times New Roman"/>
          <w:b w:val="false"/>
          <w:i w:val="false"/>
          <w:color w:val="000000"/>
          <w:sz w:val="28"/>
        </w:rPr>
        <w:t>параграфами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главы Нормативов. Если величина рассчитанного минимального размера маржи платежеспособности меньше минимального размера гарантийного фонда, установленного в параграфе 4 настоящей главы Нормативов, то минимальный размер маржи платежеспособности составляет величину, равную минимальному размеру гарантийного фонда.</w:t>
      </w:r>
      <w:r>
        <w:br/>
      </w:r>
      <w:r>
        <w:rPr>
          <w:rFonts w:ascii="Times New Roman"/>
          <w:b w:val="false"/>
          <w:i w:val="false"/>
          <w:color w:val="000000"/>
          <w:sz w:val="28"/>
        </w:rPr>
        <w:t xml:space="preserve">
      </w:t>
      </w:r>
      <w:r>
        <w:rPr>
          <w:rFonts w:ascii="Times New Roman"/>
          <w:b w:val="false"/>
          <w:i w:val="false"/>
          <w:color w:val="000000"/>
          <w:sz w:val="28"/>
        </w:rPr>
        <w:t xml:space="preserve">9. Минимальный размер маржи платежеспособности страховой (перестраховочной) организации увеличивается на сумму страховых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от страховых премий, передаваемых (переданных) в перестрахование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r>
        <w:br/>
      </w:r>
      <w:r>
        <w:rPr>
          <w:rFonts w:ascii="Times New Roman"/>
          <w:b w:val="false"/>
          <w:i w:val="false"/>
          <w:color w:val="000000"/>
          <w:sz w:val="28"/>
        </w:rPr>
        <w:t>
      Минимальный размер маржи платежеспособности страховой (перестраховочной) организации увеличивается на значение, равное 1 (одному) проценту от текущей стоимости активов, созданных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A.M. Best и Morningstar (Эй. Эм. Бест и (Морнинстар),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r>
        <w:br/>
      </w:r>
      <w:r>
        <w:rPr>
          <w:rFonts w:ascii="Times New Roman"/>
          <w:b w:val="false"/>
          <w:i w:val="false"/>
          <w:color w:val="000000"/>
          <w:sz w:val="28"/>
        </w:rPr>
        <w:t>
      Рейтинговые оценки агентства A.M. Best (Эй.Эм.Бест) используются только в целях признания рейтинговой оценки перестраховщика.</w:t>
      </w:r>
      <w:r>
        <w:br/>
      </w:r>
      <w:r>
        <w:rPr>
          <w:rFonts w:ascii="Times New Roman"/>
          <w:b w:val="false"/>
          <w:i w:val="false"/>
          <w:color w:val="000000"/>
          <w:sz w:val="28"/>
        </w:rPr>
        <w:t>
      Рейтинговые оценки рейтингового агентства Morningstar (Морнинстар) используются только в целях оценки паев Exchange Traded Funds (ETF) (Эксчейндж Трэйдэд Фандс), Exchange traded commodities (ETC) (Эксчейндж Трэйдэд Коммодитис), Exchange Traded Notes (ETN) (Эксчейндж Трэйдэд Ноутс).</w:t>
      </w:r>
      <w:r>
        <w:br/>
      </w:r>
      <w:r>
        <w:rPr>
          <w:rFonts w:ascii="Times New Roman"/>
          <w:b w:val="false"/>
          <w:i w:val="false"/>
          <w:color w:val="000000"/>
          <w:sz w:val="28"/>
        </w:rPr>
        <w:t xml:space="preserve">
      Для целей Нормативов используются долгосрочные кредитные рейтинги, рейтинги финансовой устойчивости страховой (перестраховочной) организации или соответствующие им рейтинги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10-1. При расчете Нормативов долгосрочные кредитные рейтинги, присвоенные рейтинговыми агентствами, соответствующими критериям, установленным пунктом 10-2 Нормативов, по международной рейтинговой шкале используются только в отношении иностранных объектов рейтинга.</w:t>
      </w:r>
      <w:r>
        <w:br/>
      </w: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10-2. Для целей Нормативов уполномоченным органом признаются рейтинговые оценки рейтинговых агентств, соответствующих следующим критериям:</w:t>
      </w:r>
      <w:r>
        <w:br/>
      </w:r>
      <w:r>
        <w:rPr>
          <w:rFonts w:ascii="Times New Roman"/>
          <w:b w:val="false"/>
          <w:i w:val="false"/>
          <w:color w:val="000000"/>
          <w:sz w:val="28"/>
        </w:rPr>
        <w:t xml:space="preserve">
      </w:t>
      </w:r>
      <w:r>
        <w:rPr>
          <w:rFonts w:ascii="Times New Roman"/>
          <w:b w:val="false"/>
          <w:i w:val="false"/>
          <w:color w:val="000000"/>
          <w:sz w:val="28"/>
        </w:rPr>
        <w:t>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r>
        <w:br/>
      </w:r>
      <w:r>
        <w:rPr>
          <w:rFonts w:ascii="Times New Roman"/>
          <w:b w:val="false"/>
          <w:i w:val="false"/>
          <w:color w:val="000000"/>
          <w:sz w:val="28"/>
        </w:rPr>
        <w:t xml:space="preserve">
      </w:t>
      </w:r>
      <w:r>
        <w:rPr>
          <w:rFonts w:ascii="Times New Roman"/>
          <w:b w:val="false"/>
          <w:i w:val="false"/>
          <w:color w:val="000000"/>
          <w:sz w:val="28"/>
        </w:rPr>
        <w:t>2) минимальный размер собственного капитала рейтингового агентства составляет сумму, эквивалентную не менее 600 000 000 (шестистам миллионам) тенге;</w:t>
      </w:r>
      <w:r>
        <w:br/>
      </w:r>
      <w:r>
        <w:rPr>
          <w:rFonts w:ascii="Times New Roman"/>
          <w:b w:val="false"/>
          <w:i w:val="false"/>
          <w:color w:val="000000"/>
          <w:sz w:val="28"/>
        </w:rPr>
        <w:t xml:space="preserve">
      </w:t>
      </w:r>
      <w:r>
        <w:rPr>
          <w:rFonts w:ascii="Times New Roman"/>
          <w:b w:val="false"/>
          <w:i w:val="false"/>
          <w:color w:val="000000"/>
          <w:sz w:val="28"/>
        </w:rPr>
        <w:t>3) объективность, независимость и ответственность:</w:t>
      </w:r>
      <w:r>
        <w:br/>
      </w:r>
      <w:r>
        <w:rPr>
          <w:rFonts w:ascii="Times New Roman"/>
          <w:b w:val="false"/>
          <w:i w:val="false"/>
          <w:color w:val="000000"/>
          <w:sz w:val="28"/>
        </w:rPr>
        <w:t xml:space="preserve">
      </w:t>
      </w:r>
      <w:r>
        <w:rPr>
          <w:rFonts w:ascii="Times New Roman"/>
          <w:b w:val="false"/>
          <w:i w:val="false"/>
          <w:color w:val="000000"/>
          <w:sz w:val="28"/>
        </w:rPr>
        <w:t>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r>
        <w:br/>
      </w:r>
      <w:r>
        <w:rPr>
          <w:rFonts w:ascii="Times New Roman"/>
          <w:b w:val="false"/>
          <w:i w:val="false"/>
          <w:color w:val="000000"/>
          <w:sz w:val="28"/>
        </w:rPr>
        <w:t xml:space="preserve">
      </w:t>
      </w:r>
      <w:r>
        <w:rPr>
          <w:rFonts w:ascii="Times New Roman"/>
          <w:b w:val="false"/>
          <w:i w:val="false"/>
          <w:color w:val="000000"/>
          <w:sz w:val="28"/>
        </w:rPr>
        <w:t>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r>
        <w:br/>
      </w:r>
      <w:r>
        <w:rPr>
          <w:rFonts w:ascii="Times New Roman"/>
          <w:b w:val="false"/>
          <w:i w:val="false"/>
          <w:color w:val="000000"/>
          <w:sz w:val="28"/>
        </w:rPr>
        <w:t xml:space="preserve">
      </w:t>
      </w:r>
      <w:r>
        <w:rPr>
          <w:rFonts w:ascii="Times New Roman"/>
          <w:b w:val="false"/>
          <w:i w:val="false"/>
          <w:color w:val="000000"/>
          <w:sz w:val="28"/>
        </w:rPr>
        <w:t>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r>
        <w:br/>
      </w:r>
      <w:r>
        <w:rPr>
          <w:rFonts w:ascii="Times New Roman"/>
          <w:b w:val="false"/>
          <w:i w:val="false"/>
          <w:color w:val="000000"/>
          <w:sz w:val="28"/>
        </w:rPr>
        <w:t xml:space="preserve">
      </w:t>
      </w:r>
      <w:r>
        <w:rPr>
          <w:rFonts w:ascii="Times New Roman"/>
          <w:b w:val="false"/>
          <w:i w:val="false"/>
          <w:color w:val="000000"/>
          <w:sz w:val="28"/>
        </w:rPr>
        <w:t>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r>
        <w:br/>
      </w:r>
      <w:r>
        <w:rPr>
          <w:rFonts w:ascii="Times New Roman"/>
          <w:b w:val="false"/>
          <w:i w:val="false"/>
          <w:color w:val="000000"/>
          <w:sz w:val="28"/>
        </w:rPr>
        <w:t xml:space="preserve">
      </w:t>
      </w:r>
      <w:r>
        <w:rPr>
          <w:rFonts w:ascii="Times New Roman"/>
          <w:b w:val="false"/>
          <w:i w:val="false"/>
          <w:color w:val="000000"/>
          <w:sz w:val="28"/>
        </w:rPr>
        <w:t>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r>
        <w:br/>
      </w:r>
      <w:r>
        <w:rPr>
          <w:rFonts w:ascii="Times New Roman"/>
          <w:b w:val="false"/>
          <w:i w:val="false"/>
          <w:color w:val="000000"/>
          <w:sz w:val="28"/>
        </w:rPr>
        <w:t xml:space="preserve">
      </w:t>
      </w:r>
      <w:r>
        <w:rPr>
          <w:rFonts w:ascii="Times New Roman"/>
          <w:b w:val="false"/>
          <w:i w:val="false"/>
          <w:color w:val="000000"/>
          <w:sz w:val="28"/>
        </w:rPr>
        <w:t>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r>
        <w:br/>
      </w:r>
      <w:r>
        <w:rPr>
          <w:rFonts w:ascii="Times New Roman"/>
          <w:b w:val="false"/>
          <w:i w:val="false"/>
          <w:color w:val="000000"/>
          <w:sz w:val="28"/>
        </w:rPr>
        <w:t xml:space="preserve">
      </w:t>
      </w:r>
      <w:r>
        <w:rPr>
          <w:rFonts w:ascii="Times New Roman"/>
          <w:b w:val="false"/>
          <w:i w:val="false"/>
          <w:color w:val="000000"/>
          <w:sz w:val="28"/>
        </w:rPr>
        <w:t>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r>
        <w:br/>
      </w:r>
      <w:r>
        <w:rPr>
          <w:rFonts w:ascii="Times New Roman"/>
          <w:b w:val="false"/>
          <w:i w:val="false"/>
          <w:color w:val="000000"/>
          <w:sz w:val="28"/>
        </w:rPr>
        <w:t xml:space="preserve">
      </w:t>
      </w:r>
      <w:r>
        <w:rPr>
          <w:rFonts w:ascii="Times New Roman"/>
          <w:b w:val="false"/>
          <w:i w:val="false"/>
          <w:color w:val="000000"/>
          <w:sz w:val="28"/>
        </w:rPr>
        <w:t>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r>
        <w:br/>
      </w:r>
      <w:r>
        <w:rPr>
          <w:rFonts w:ascii="Times New Roman"/>
          <w:b w:val="false"/>
          <w:i w:val="false"/>
          <w:color w:val="000000"/>
          <w:sz w:val="28"/>
        </w:rPr>
        <w:t xml:space="preserve">
      </w:t>
      </w:r>
      <w:r>
        <w:rPr>
          <w:rFonts w:ascii="Times New Roman"/>
          <w:b w:val="false"/>
          <w:i w:val="false"/>
          <w:color w:val="000000"/>
          <w:sz w:val="28"/>
        </w:rPr>
        <w:t>4) прозрачность и раскрытие информации:</w:t>
      </w:r>
      <w:r>
        <w:br/>
      </w:r>
      <w:r>
        <w:rPr>
          <w:rFonts w:ascii="Times New Roman"/>
          <w:b w:val="false"/>
          <w:i w:val="false"/>
          <w:color w:val="000000"/>
          <w:sz w:val="28"/>
        </w:rPr>
        <w:t xml:space="preserve">
      </w:t>
      </w:r>
      <w:r>
        <w:rPr>
          <w:rFonts w:ascii="Times New Roman"/>
          <w:b w:val="false"/>
          <w:i w:val="false"/>
          <w:color w:val="000000"/>
          <w:sz w:val="28"/>
        </w:rPr>
        <w:t>рейтинговое агентство обеспечивает раскрытие на интернет-ресурсе рейтингового агентства следующей информации:</w:t>
      </w:r>
      <w:r>
        <w:br/>
      </w:r>
      <w:r>
        <w:rPr>
          <w:rFonts w:ascii="Times New Roman"/>
          <w:b w:val="false"/>
          <w:i w:val="false"/>
          <w:color w:val="000000"/>
          <w:sz w:val="28"/>
        </w:rPr>
        <w:t xml:space="preserve">
      </w:t>
      </w:r>
      <w:r>
        <w:rPr>
          <w:rFonts w:ascii="Times New Roman"/>
          <w:b w:val="false"/>
          <w:i w:val="false"/>
          <w:color w:val="000000"/>
          <w:sz w:val="28"/>
        </w:rPr>
        <w:t>методологии, применяемой рейтинговым агентством при определении рейтинга;</w:t>
      </w:r>
      <w:r>
        <w:br/>
      </w:r>
      <w:r>
        <w:rPr>
          <w:rFonts w:ascii="Times New Roman"/>
          <w:b w:val="false"/>
          <w:i w:val="false"/>
          <w:color w:val="000000"/>
          <w:sz w:val="28"/>
        </w:rPr>
        <w:t xml:space="preserve">
      </w:t>
      </w:r>
      <w:r>
        <w:rPr>
          <w:rFonts w:ascii="Times New Roman"/>
          <w:b w:val="false"/>
          <w:i w:val="false"/>
          <w:color w:val="000000"/>
          <w:sz w:val="28"/>
        </w:rPr>
        <w:t>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r>
        <w:br/>
      </w:r>
      <w:r>
        <w:rPr>
          <w:rFonts w:ascii="Times New Roman"/>
          <w:b w:val="false"/>
          <w:i w:val="false"/>
          <w:color w:val="000000"/>
          <w:sz w:val="28"/>
        </w:rPr>
        <w:t xml:space="preserve">
      </w:t>
      </w:r>
      <w:r>
        <w:rPr>
          <w:rFonts w:ascii="Times New Roman"/>
          <w:b w:val="false"/>
          <w:i w:val="false"/>
          <w:color w:val="000000"/>
          <w:sz w:val="28"/>
        </w:rPr>
        <w:t>5) надежность рейтингов:</w:t>
      </w:r>
      <w:r>
        <w:br/>
      </w:r>
      <w:r>
        <w:rPr>
          <w:rFonts w:ascii="Times New Roman"/>
          <w:b w:val="false"/>
          <w:i w:val="false"/>
          <w:color w:val="000000"/>
          <w:sz w:val="28"/>
        </w:rPr>
        <w:t xml:space="preserve">
      </w:t>
      </w:r>
      <w:r>
        <w:rPr>
          <w:rFonts w:ascii="Times New Roman"/>
          <w:b w:val="false"/>
          <w:i w:val="false"/>
          <w:color w:val="000000"/>
          <w:sz w:val="28"/>
        </w:rPr>
        <w:t>рейтинговое агентство осуществляет рейтинговую деятельность на регулярной основе не менее 5 (пяти) последних лет;</w:t>
      </w:r>
      <w:r>
        <w:br/>
      </w:r>
      <w:r>
        <w:rPr>
          <w:rFonts w:ascii="Times New Roman"/>
          <w:b w:val="false"/>
          <w:i w:val="false"/>
          <w:color w:val="000000"/>
          <w:sz w:val="28"/>
        </w:rPr>
        <w:t xml:space="preserve">
      </w:t>
      </w:r>
      <w:r>
        <w:rPr>
          <w:rFonts w:ascii="Times New Roman"/>
          <w:b w:val="false"/>
          <w:i w:val="false"/>
          <w:color w:val="000000"/>
          <w:sz w:val="28"/>
        </w:rPr>
        <w:t>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r>
        <w:br/>
      </w:r>
      <w:r>
        <w:rPr>
          <w:rFonts w:ascii="Times New Roman"/>
          <w:b w:val="false"/>
          <w:i w:val="false"/>
          <w:color w:val="000000"/>
          <w:sz w:val="28"/>
        </w:rPr>
        <w:t xml:space="preserve">
      </w:t>
      </w:r>
      <w:r>
        <w:rPr>
          <w:rFonts w:ascii="Times New Roman"/>
          <w:b w:val="false"/>
          <w:i w:val="false"/>
          <w:color w:val="000000"/>
          <w:sz w:val="28"/>
        </w:rPr>
        <w:t>персонал рейтингового агентства, непосредственно занимающийся присвоением рейтингов, имеет соответствующее образование, навыки и опыт;</w:t>
      </w:r>
      <w:r>
        <w:br/>
      </w:r>
      <w:r>
        <w:rPr>
          <w:rFonts w:ascii="Times New Roman"/>
          <w:b w:val="false"/>
          <w:i w:val="false"/>
          <w:color w:val="000000"/>
          <w:sz w:val="28"/>
        </w:rPr>
        <w:t xml:space="preserve">
      </w:t>
      </w:r>
      <w:r>
        <w:rPr>
          <w:rFonts w:ascii="Times New Roman"/>
          <w:b w:val="false"/>
          <w:i w:val="false"/>
          <w:color w:val="000000"/>
          <w:sz w:val="28"/>
        </w:rPr>
        <w:t>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r>
        <w:br/>
      </w:r>
      <w:r>
        <w:rPr>
          <w:rFonts w:ascii="Times New Roman"/>
          <w:b w:val="false"/>
          <w:i w:val="false"/>
          <w:color w:val="000000"/>
          <w:sz w:val="28"/>
        </w:rPr>
        <w:t xml:space="preserve">
      </w:t>
      </w:r>
      <w:r>
        <w:rPr>
          <w:rFonts w:ascii="Times New Roman"/>
          <w:b w:val="false"/>
          <w:i w:val="false"/>
          <w:color w:val="000000"/>
          <w:sz w:val="28"/>
        </w:rPr>
        <w:t>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r>
        <w:br/>
      </w:r>
      <w:r>
        <w:rPr>
          <w:rFonts w:ascii="Times New Roman"/>
          <w:b w:val="false"/>
          <w:i w:val="false"/>
          <w:color w:val="000000"/>
          <w:sz w:val="28"/>
        </w:rPr>
        <w:t xml:space="preserve">
      </w:t>
      </w:r>
      <w:r>
        <w:rPr>
          <w:rFonts w:ascii="Times New Roman"/>
          <w:b w:val="false"/>
          <w:i w:val="false"/>
          <w:color w:val="000000"/>
          <w:sz w:val="28"/>
        </w:rPr>
        <w:t>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r>
        <w:br/>
      </w:r>
      <w:r>
        <w:rPr>
          <w:rFonts w:ascii="Times New Roman"/>
          <w:b w:val="false"/>
          <w:i w:val="false"/>
          <w:color w:val="000000"/>
          <w:sz w:val="28"/>
        </w:rPr>
        <w:t xml:space="preserve">
      </w:t>
      </w:r>
      <w:r>
        <w:rPr>
          <w:rFonts w:ascii="Times New Roman"/>
          <w:b w:val="false"/>
          <w:i w:val="false"/>
          <w:color w:val="000000"/>
          <w:sz w:val="28"/>
        </w:rPr>
        <w:t>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r>
        <w:br/>
      </w:r>
      <w:r>
        <w:rPr>
          <w:rFonts w:ascii="Times New Roman"/>
          <w:b w:val="false"/>
          <w:i w:val="false"/>
          <w:color w:val="000000"/>
          <w:sz w:val="28"/>
        </w:rPr>
        <w:t xml:space="preserve">
      </w:t>
      </w:r>
      <w:r>
        <w:rPr>
          <w:rFonts w:ascii="Times New Roman"/>
          <w:b w:val="false"/>
          <w:i w:val="false"/>
          <w:color w:val="000000"/>
          <w:sz w:val="28"/>
        </w:rPr>
        <w:t>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r>
        <w:br/>
      </w:r>
      <w:r>
        <w:rPr>
          <w:rFonts w:ascii="Times New Roman"/>
          <w:b w:val="false"/>
          <w:i w:val="false"/>
          <w:color w:val="000000"/>
          <w:sz w:val="28"/>
        </w:rPr>
        <w:t xml:space="preserve">
      </w:t>
      </w:r>
      <w:r>
        <w:rPr>
          <w:rFonts w:ascii="Times New Roman"/>
          <w:b w:val="false"/>
          <w:i w:val="false"/>
          <w:color w:val="000000"/>
          <w:sz w:val="28"/>
        </w:rPr>
        <w:t>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r>
        <w:br/>
      </w: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10-2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
    <w:p>
      <w:pPr>
        <w:spacing w:after="0"/>
        <w:ind w:left="0"/>
        <w:jc w:val="left"/>
      </w:pPr>
      <w:r>
        <w:rPr>
          <w:rFonts w:ascii="Times New Roman"/>
          <w:b/>
          <w:i w:val="false"/>
          <w:color w:val="000000"/>
        </w:rPr>
        <w:t xml:space="preserve"> Параграф 2.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11. Минимальный размер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 представляет собой величину, равную максимальному значению одной из величин, рассчитанных с использованием методов,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Нормативов.</w:t>
      </w:r>
      <w:r>
        <w:br/>
      </w:r>
      <w:r>
        <w:rPr>
          <w:rFonts w:ascii="Times New Roman"/>
          <w:b w:val="false"/>
          <w:i w:val="false"/>
          <w:color w:val="000000"/>
          <w:sz w:val="28"/>
        </w:rPr>
        <w:t xml:space="preserve">
      </w:t>
      </w:r>
      <w:r>
        <w:rPr>
          <w:rFonts w:ascii="Times New Roman"/>
          <w:b w:val="false"/>
          <w:i w:val="false"/>
          <w:color w:val="000000"/>
          <w:sz w:val="28"/>
        </w:rPr>
        <w:t>12. Порядок расчета минимального размера маржи платежеспособности с использованием "метода премий":</w:t>
      </w:r>
      <w:r>
        <w:br/>
      </w:r>
      <w:r>
        <w:rPr>
          <w:rFonts w:ascii="Times New Roman"/>
          <w:b w:val="false"/>
          <w:i w:val="false"/>
          <w:color w:val="000000"/>
          <w:sz w:val="28"/>
        </w:rPr>
        <w:t xml:space="preserve">
      </w:t>
      </w:r>
      <w:r>
        <w:rPr>
          <w:rFonts w:ascii="Times New Roman"/>
          <w:b w:val="false"/>
          <w:i w:val="false"/>
          <w:color w:val="000000"/>
          <w:sz w:val="28"/>
        </w:rPr>
        <w:t>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r>
        <w:br/>
      </w:r>
      <w:r>
        <w:rPr>
          <w:rFonts w:ascii="Times New Roman"/>
          <w:b w:val="false"/>
          <w:i w:val="false"/>
          <w:color w:val="000000"/>
          <w:sz w:val="28"/>
        </w:rPr>
        <w:t xml:space="preserve">
      </w:t>
      </w:r>
      <w:r>
        <w:rPr>
          <w:rFonts w:ascii="Times New Roman"/>
          <w:b w:val="false"/>
          <w:i w:val="false"/>
          <w:color w:val="000000"/>
          <w:sz w:val="28"/>
        </w:rPr>
        <w:t>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r>
        <w:br/>
      </w:r>
      <w:r>
        <w:rPr>
          <w:rFonts w:ascii="Times New Roman"/>
          <w:b w:val="false"/>
          <w:i w:val="false"/>
          <w:color w:val="000000"/>
          <w:sz w:val="28"/>
        </w:rPr>
        <w:t xml:space="preserve">
      </w:t>
      </w:r>
      <w:r>
        <w:rPr>
          <w:rFonts w:ascii="Times New Roman"/>
          <w:b w:val="false"/>
          <w:i w:val="false"/>
          <w:color w:val="000000"/>
          <w:sz w:val="28"/>
        </w:rPr>
        <w:t>3) сумма совокупных страховых премий (совокупных заработанных премий), рассчитанных в соответствии с подпунктами 1), 2) настоящего пункта, уменьшается на сумму расходов по выплате комиссионного вознаграждения по страховой деятельности, а также на сумму корпоративного подоходного налога;</w:t>
      </w:r>
      <w:r>
        <w:br/>
      </w:r>
      <w:r>
        <w:rPr>
          <w:rFonts w:ascii="Times New Roman"/>
          <w:b w:val="false"/>
          <w:i w:val="false"/>
          <w:color w:val="000000"/>
          <w:sz w:val="28"/>
        </w:rPr>
        <w:t xml:space="preserve">
      </w:t>
      </w:r>
      <w:r>
        <w:rPr>
          <w:rFonts w:ascii="Times New Roman"/>
          <w:b w:val="false"/>
          <w:i w:val="false"/>
          <w:color w:val="000000"/>
          <w:sz w:val="28"/>
        </w:rPr>
        <w:t>4) сумма страховых премий, рассчитанных в соответствии с подпунктами 1), 2) и 3) настоящего пункта в размере, не превышающем 3 500 000 000 (три миллиарда пятьсот миллионов) тенге, умножается на 18 (восемнадцать) процентов, оставшаяся сумма превышения умножается на 16 (шестнадцать) процентов.</w:t>
      </w:r>
      <w:r>
        <w:br/>
      </w:r>
      <w:r>
        <w:rPr>
          <w:rFonts w:ascii="Times New Roman"/>
          <w:b w:val="false"/>
          <w:i w:val="false"/>
          <w:color w:val="000000"/>
          <w:sz w:val="28"/>
        </w:rPr>
        <w:t xml:space="preserve">
      </w:t>
      </w:r>
      <w:r>
        <w:rPr>
          <w:rFonts w:ascii="Times New Roman"/>
          <w:b w:val="false"/>
          <w:i w:val="false"/>
          <w:color w:val="000000"/>
          <w:sz w:val="28"/>
        </w:rPr>
        <w:t>Полученные результаты суммируются и корректируются на поправочный коэффициент, рассчитанный в соответствии с подпунктом 5) настоящего пункта;</w:t>
      </w:r>
      <w:r>
        <w:br/>
      </w:r>
      <w:r>
        <w:rPr>
          <w:rFonts w:ascii="Times New Roman"/>
          <w:b w:val="false"/>
          <w:i w:val="false"/>
          <w:color w:val="000000"/>
          <w:sz w:val="28"/>
        </w:rPr>
        <w:t xml:space="preserve">
      </w:t>
      </w:r>
      <w:r>
        <w:rPr>
          <w:rFonts w:ascii="Times New Roman"/>
          <w:b w:val="false"/>
          <w:i w:val="false"/>
          <w:color w:val="000000"/>
          <w:sz w:val="28"/>
        </w:rPr>
        <w:t>5)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3 (три) финансовых года, к сумме совокупных страховых выплат, начисленных за предыдущие 3 (три) финансовых года.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r>
        <w:br/>
      </w:r>
      <w:r>
        <w:rPr>
          <w:rFonts w:ascii="Times New Roman"/>
          <w:b w:val="false"/>
          <w:i w:val="false"/>
          <w:color w:val="000000"/>
          <w:sz w:val="28"/>
        </w:rPr>
        <w:t xml:space="preserve">
      </w:t>
      </w:r>
      <w:r>
        <w:rPr>
          <w:rFonts w:ascii="Times New Roman"/>
          <w:b w:val="false"/>
          <w:i w:val="false"/>
          <w:color w:val="000000"/>
          <w:sz w:val="28"/>
        </w:rPr>
        <w:t>Поправочный коэффициент не применяется при расчете минимального размера маржи платежеспособности, если за предыдущие 3 (три) финансовых года страховой (перестраховочной) организацией не осуществлялись страховые выплаты.</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 Порядок расчета минимального размера маржи платежеспособности с использованием "метода выплат":</w:t>
      </w:r>
      <w:r>
        <w:br/>
      </w:r>
      <w:r>
        <w:rPr>
          <w:rFonts w:ascii="Times New Roman"/>
          <w:b w:val="false"/>
          <w:i w:val="false"/>
          <w:color w:val="000000"/>
          <w:sz w:val="28"/>
        </w:rPr>
        <w:t xml:space="preserve">
      </w:t>
      </w:r>
      <w:r>
        <w:rPr>
          <w:rFonts w:ascii="Times New Roman"/>
          <w:b w:val="false"/>
          <w:i w:val="false"/>
          <w:color w:val="000000"/>
          <w:sz w:val="28"/>
        </w:rPr>
        <w:t>1) для расчета используется сумма совокупных страховых выплат, начисленных за предыдущие 3 (три) финансовых года.</w:t>
      </w:r>
      <w:r>
        <w:br/>
      </w:r>
      <w:r>
        <w:rPr>
          <w:rFonts w:ascii="Times New Roman"/>
          <w:b w:val="false"/>
          <w:i w:val="false"/>
          <w:color w:val="000000"/>
          <w:sz w:val="28"/>
        </w:rPr>
        <w:t xml:space="preserve">
      </w:t>
      </w:r>
      <w:r>
        <w:rPr>
          <w:rFonts w:ascii="Times New Roman"/>
          <w:b w:val="false"/>
          <w:i w:val="false"/>
          <w:color w:val="000000"/>
          <w:sz w:val="28"/>
        </w:rPr>
        <w:t xml:space="preserve">Страховой организацией, занимающейся исключительно страхованием рисков, указанных в подпунктах 13) и 14) пункта 3 </w:t>
      </w:r>
      <w:r>
        <w:rPr>
          <w:rFonts w:ascii="Times New Roman"/>
          <w:b w:val="false"/>
          <w:i w:val="false"/>
          <w:color w:val="000000"/>
          <w:sz w:val="28"/>
        </w:rPr>
        <w:t>статьи 6</w:t>
      </w:r>
      <w:r>
        <w:rPr>
          <w:rFonts w:ascii="Times New Roman"/>
          <w:b w:val="false"/>
          <w:i w:val="false"/>
          <w:color w:val="000000"/>
          <w:sz w:val="28"/>
        </w:rPr>
        <w:t xml:space="preserve"> Закона, для расчета используется сумма совокупных страховых выплат за предыдущие 7 (семь) финансовых лет;</w:t>
      </w:r>
      <w:r>
        <w:br/>
      </w:r>
      <w:r>
        <w:rPr>
          <w:rFonts w:ascii="Times New Roman"/>
          <w:b w:val="false"/>
          <w:i w:val="false"/>
          <w:color w:val="000000"/>
          <w:sz w:val="28"/>
        </w:rPr>
        <w:t xml:space="preserve">
      </w:t>
      </w:r>
      <w:r>
        <w:rPr>
          <w:rFonts w:ascii="Times New Roman"/>
          <w:b w:val="false"/>
          <w:i w:val="false"/>
          <w:color w:val="000000"/>
          <w:sz w:val="28"/>
        </w:rPr>
        <w:t>2) сумма совокупных страховых выплат, осуществленных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r>
        <w:br/>
      </w:r>
      <w:r>
        <w:rPr>
          <w:rFonts w:ascii="Times New Roman"/>
          <w:b w:val="false"/>
          <w:i w:val="false"/>
          <w:color w:val="000000"/>
          <w:sz w:val="28"/>
        </w:rPr>
        <w:t xml:space="preserve">
      </w:t>
      </w:r>
      <w:r>
        <w:rPr>
          <w:rFonts w:ascii="Times New Roman"/>
          <w:b w:val="false"/>
          <w:i w:val="false"/>
          <w:color w:val="000000"/>
          <w:sz w:val="28"/>
        </w:rPr>
        <w:t>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r>
        <w:br/>
      </w:r>
      <w:r>
        <w:rPr>
          <w:rFonts w:ascii="Times New Roman"/>
          <w:b w:val="false"/>
          <w:i w:val="false"/>
          <w:color w:val="000000"/>
          <w:sz w:val="28"/>
        </w:rPr>
        <w:t xml:space="preserve">
      </w:t>
      </w:r>
      <w:r>
        <w:rPr>
          <w:rFonts w:ascii="Times New Roman"/>
          <w:b w:val="false"/>
          <w:i w:val="false"/>
          <w:color w:val="000000"/>
          <w:sz w:val="28"/>
        </w:rPr>
        <w:t>на сумму резерва заявленных, но неурегулированных убытков на конец финансового года, за 3 (три) года, предшествующих отчетному финансовому году;</w:t>
      </w:r>
      <w:r>
        <w:br/>
      </w:r>
      <w:r>
        <w:rPr>
          <w:rFonts w:ascii="Times New Roman"/>
          <w:b w:val="false"/>
          <w:i w:val="false"/>
          <w:color w:val="000000"/>
          <w:sz w:val="28"/>
        </w:rPr>
        <w:t xml:space="preserve">
      </w:t>
      </w:r>
      <w:r>
        <w:rPr>
          <w:rFonts w:ascii="Times New Roman"/>
          <w:b w:val="false"/>
          <w:i w:val="false"/>
          <w:color w:val="000000"/>
          <w:sz w:val="28"/>
        </w:rPr>
        <w:t>для страховых организаций, указанных в абзаце втором подпункта 1) настоящего пункта, – на сумму резерва заявленных, но неурегулированных убытков на конец финансового года, за 7 (семь) лет, предшествующих отчетному финансовому году;</w:t>
      </w:r>
      <w:r>
        <w:br/>
      </w:r>
      <w:r>
        <w:rPr>
          <w:rFonts w:ascii="Times New Roman"/>
          <w:b w:val="false"/>
          <w:i w:val="false"/>
          <w:color w:val="000000"/>
          <w:sz w:val="28"/>
        </w:rPr>
        <w:t xml:space="preserve">
      </w:t>
      </w:r>
      <w:r>
        <w:rPr>
          <w:rFonts w:ascii="Times New Roman"/>
          <w:b w:val="false"/>
          <w:i w:val="false"/>
          <w:color w:val="000000"/>
          <w:sz w:val="28"/>
        </w:rPr>
        <w:t>4) для расчета минимального размера маржи платежеспособности страховой (перестраховочной) организации используется:</w:t>
      </w:r>
      <w:r>
        <w:br/>
      </w:r>
      <w:r>
        <w:rPr>
          <w:rFonts w:ascii="Times New Roman"/>
          <w:b w:val="false"/>
          <w:i w:val="false"/>
          <w:color w:val="000000"/>
          <w:sz w:val="28"/>
        </w:rPr>
        <w:t xml:space="preserve">
      </w:t>
      </w:r>
      <w:r>
        <w:rPr>
          <w:rFonts w:ascii="Times New Roman"/>
          <w:b w:val="false"/>
          <w:i w:val="false"/>
          <w:color w:val="000000"/>
          <w:sz w:val="28"/>
        </w:rPr>
        <w:t>одна третья часть суммы, полученной согласно абзацу второму подпункта 3) настоящего пункта;</w:t>
      </w:r>
      <w:r>
        <w:br/>
      </w:r>
      <w:r>
        <w:rPr>
          <w:rFonts w:ascii="Times New Roman"/>
          <w:b w:val="false"/>
          <w:i w:val="false"/>
          <w:color w:val="000000"/>
          <w:sz w:val="28"/>
        </w:rPr>
        <w:t xml:space="preserve">
      </w:t>
      </w:r>
      <w:r>
        <w:rPr>
          <w:rFonts w:ascii="Times New Roman"/>
          <w:b w:val="false"/>
          <w:i w:val="false"/>
          <w:color w:val="000000"/>
          <w:sz w:val="28"/>
        </w:rPr>
        <w:t>для страховых организаций, указанных в абзаце втором подпункта 1) настоящего пункта, – одна седьмая часть суммы, полученной согласно абзацу третьему подпункта 3) настоящего пункта;</w:t>
      </w:r>
      <w:r>
        <w:br/>
      </w:r>
      <w:r>
        <w:rPr>
          <w:rFonts w:ascii="Times New Roman"/>
          <w:b w:val="false"/>
          <w:i w:val="false"/>
          <w:color w:val="000000"/>
          <w:sz w:val="28"/>
        </w:rPr>
        <w:t xml:space="preserve">
      </w:t>
      </w:r>
      <w:r>
        <w:rPr>
          <w:rFonts w:ascii="Times New Roman"/>
          <w:b w:val="false"/>
          <w:i w:val="false"/>
          <w:color w:val="000000"/>
          <w:sz w:val="28"/>
        </w:rPr>
        <w:t>5) сумма страховых выплат, рассчитанных в соответствии с подпунктами 1), 2), 3) и 4) настоящего пункта в размере, не превышающем 2 500 000 000 (два миллиарда пятьсот миллионов) тенге, умножается на 26 (двадцать шесть) процентов, оставшаяся сумма превышения умножается на 23 (двадцать три) процента.</w:t>
      </w:r>
      <w:r>
        <w:br/>
      </w:r>
      <w:r>
        <w:rPr>
          <w:rFonts w:ascii="Times New Roman"/>
          <w:b w:val="false"/>
          <w:i w:val="false"/>
          <w:color w:val="000000"/>
          <w:sz w:val="28"/>
        </w:rPr>
        <w:t xml:space="preserve">
      </w:t>
      </w:r>
      <w:r>
        <w:rPr>
          <w:rFonts w:ascii="Times New Roman"/>
          <w:b w:val="false"/>
          <w:i w:val="false"/>
          <w:color w:val="000000"/>
          <w:sz w:val="28"/>
        </w:rPr>
        <w:t>Полученные результаты суммируются и корректируются на поправочный коэффициент, рассчитанный в соответствии с подпунктом 5) пункта 12 Нормативов.</w:t>
      </w:r>
      <w:r>
        <w:br/>
      </w:r>
      <w:r>
        <w:rPr>
          <w:rFonts w:ascii="Times New Roman"/>
          <w:b w:val="false"/>
          <w:i w:val="false"/>
          <w:color w:val="000000"/>
          <w:sz w:val="28"/>
        </w:rPr>
        <w:t xml:space="preserve">
      </w:t>
      </w:r>
      <w:r>
        <w:rPr>
          <w:rFonts w:ascii="Times New Roman"/>
          <w:b w:val="false"/>
          <w:i w:val="false"/>
          <w:color w:val="000000"/>
          <w:sz w:val="28"/>
        </w:rPr>
        <w:t>Если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 Минимальный размер маржи платежеспособности увеличивается на следующие суммы:</w:t>
      </w:r>
      <w:r>
        <w:br/>
      </w:r>
      <w:r>
        <w:rPr>
          <w:rFonts w:ascii="Times New Roman"/>
          <w:b w:val="false"/>
          <w:i w:val="false"/>
          <w:color w:val="000000"/>
          <w:sz w:val="28"/>
        </w:rPr>
        <w:t>
      по договорам страхования (перестрахования) по классам в добровольной форме страхования, указанным в подпунктах 13), 14), 15-1) и 16) пункта 3 статьи 6 Закона -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r>
        <w:br/>
      </w:r>
      <w:r>
        <w:rPr>
          <w:rFonts w:ascii="Times New Roman"/>
          <w:b w:val="false"/>
          <w:i w:val="false"/>
          <w:color w:val="000000"/>
          <w:sz w:val="28"/>
        </w:rPr>
        <w:t>
      по договорам страхования (перестрахования) по классу в добровольной форме страхования, указанному в подпункте 12) пункта 3 статьи 6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r>
        <w:br/>
      </w:r>
      <w:r>
        <w:rPr>
          <w:rFonts w:ascii="Times New Roman"/>
          <w:b w:val="false"/>
          <w:i w:val="false"/>
          <w:color w:val="000000"/>
          <w:sz w:val="28"/>
        </w:rPr>
        <w:t xml:space="preserve">
      по договорам страхования (перестрахования), предусматривающим возмещение финансовых убытков лиц, связанных со страховой (перестраховочной) организацией особыми отношениями, в рамках классов в добровольной форме страхования, указанных в подпунктах 13), 14), 15-1) и 16) </w:t>
      </w:r>
      <w:r>
        <w:rPr>
          <w:rFonts w:ascii="Times New Roman"/>
          <w:b w:val="false"/>
          <w:i w:val="false"/>
          <w:color w:val="000000"/>
          <w:sz w:val="28"/>
        </w:rPr>
        <w:t>пункта 3</w:t>
      </w:r>
      <w:r>
        <w:rPr>
          <w:rFonts w:ascii="Times New Roman"/>
          <w:b w:val="false"/>
          <w:i w:val="false"/>
          <w:color w:val="000000"/>
          <w:sz w:val="28"/>
        </w:rPr>
        <w:t xml:space="preserve"> статьи 6 Закона, - дополнительно на 10 (десять) процентов от страховой премии по действующим на конец отчетного периода договорам страхования (перестрахования).</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15. Если минимальный размер маржи платежеспособности страховой (перестраховочной) организации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предыдущий финансовый год, скорректированный на коэффициент резерва, рассчитываемого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Нормативов.</w:t>
      </w:r>
      <w:r>
        <w:br/>
      </w:r>
      <w:r>
        <w:rPr>
          <w:rFonts w:ascii="Times New Roman"/>
          <w:b w:val="false"/>
          <w:i w:val="false"/>
          <w:color w:val="000000"/>
          <w:sz w:val="28"/>
        </w:rPr>
        <w:t xml:space="preserve">
      </w:t>
      </w:r>
      <w:r>
        <w:rPr>
          <w:rFonts w:ascii="Times New Roman"/>
          <w:b w:val="false"/>
          <w:i w:val="false"/>
          <w:color w:val="000000"/>
          <w:sz w:val="28"/>
        </w:rPr>
        <w:t xml:space="preserve">Если минимальный размер маржи платежеспособности за предыдущий финансовый год,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 </w:t>
      </w:r>
      <w:r>
        <w:br/>
      </w:r>
      <w:r>
        <w:rPr>
          <w:rFonts w:ascii="Times New Roman"/>
          <w:b w:val="false"/>
          <w:i w:val="false"/>
          <w:color w:val="000000"/>
          <w:sz w:val="28"/>
        </w:rPr>
        <w:t xml:space="preserve">
      </w:t>
      </w:r>
      <w:r>
        <w:rPr>
          <w:rFonts w:ascii="Times New Roman"/>
          <w:b w:val="false"/>
          <w:i w:val="false"/>
          <w:color w:val="000000"/>
          <w:sz w:val="28"/>
        </w:rPr>
        <w:t>16. Коэффициент резерва рассчитывается как отношение суммы резерва заявленных, но неурегулированных убытков (за минусом доли перестраховщика) на конец предыдущего финансового года к сумме резерва заявленных, но неурегулированных убытков (за минусом доли перестраховщика) на начало предыдущего финансового года. Если величина полученного в результате расчета коэффициента резерва более 1 (единицы), то для расчета принимается 1 (единица).</w:t>
      </w:r>
      <w:r>
        <w:br/>
      </w:r>
      <w:r>
        <w:rPr>
          <w:rFonts w:ascii="Times New Roman"/>
          <w:b w:val="false"/>
          <w:i w:val="false"/>
          <w:color w:val="000000"/>
          <w:sz w:val="28"/>
        </w:rPr>
        <w:t xml:space="preserve">
      </w:t>
      </w:r>
      <w:r>
        <w:rPr>
          <w:rFonts w:ascii="Times New Roman"/>
          <w:b w:val="false"/>
          <w:i w:val="false"/>
          <w:color w:val="000000"/>
          <w:sz w:val="28"/>
        </w:rPr>
        <w:t>16-1. В случае, когда минимальным размером маржи платежеспособности для страховых (перестраховочных) организаций, у которых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 является величина, рассчитанная с использованием одного из методов, указанных в пунктах 12 и 13 Нормативов, то минимальный размер маржи платежеспособности уменьшается на 30 (тридцать) процентов.</w:t>
      </w:r>
      <w:r>
        <w:br/>
      </w: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16-1 в соответствии с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Параграф 3.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w:t>
      </w:r>
      <w:r>
        <w:br/>
      </w:r>
      <w:r>
        <w:rPr>
          <w:rFonts w:ascii="Times New Roman"/>
          <w:b w:val="false"/>
          <w:i w:val="false"/>
          <w:color w:val="000000"/>
          <w:sz w:val="28"/>
        </w:rPr>
        <w:t xml:space="preserve">
      </w:t>
      </w:r>
      <w:r>
        <w:rPr>
          <w:rFonts w:ascii="Times New Roman"/>
          <w:b w:val="false"/>
          <w:i w:val="false"/>
          <w:color w:val="000000"/>
          <w:sz w:val="28"/>
        </w:rPr>
        <w:t>1)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2)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Для расчета минимального размера маржи платежеспособности страховой организации принимаются суммы, рассчитанные в соответствии с пунктами 18 и 23 Нормативов.</w:t>
      </w:r>
      <w:r>
        <w:br/>
      </w: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 Расчет минимального размера маржи платежеспособности страховой (перестраховочной) организации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представляет собой величину, равную сумме значений, рассчитанных в соответствии с пунктами 19 и 21 Нормативов.</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w:t>
      </w:r>
      <w:r>
        <w:br/>
      </w:r>
      <w:r>
        <w:rPr>
          <w:rFonts w:ascii="Times New Roman"/>
          <w:b w:val="false"/>
          <w:i w:val="false"/>
          <w:color w:val="000000"/>
          <w:sz w:val="28"/>
        </w:rPr>
        <w:t xml:space="preserve">
      </w:t>
      </w:r>
      <w:r>
        <w:rPr>
          <w:rFonts w:ascii="Times New Roman"/>
          <w:b w:val="false"/>
          <w:i w:val="false"/>
          <w:color w:val="000000"/>
          <w:sz w:val="28"/>
        </w:rPr>
        <w:t>1) по договорам страхования жизни на случай смерти (сроком до 3 (трех) лет) - 0,1 (ноль целых одна десятая)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r>
        <w:br/>
      </w:r>
      <w:r>
        <w:rPr>
          <w:rFonts w:ascii="Times New Roman"/>
          <w:b w:val="false"/>
          <w:i w:val="false"/>
          <w:color w:val="000000"/>
          <w:sz w:val="28"/>
        </w:rPr>
        <w:t xml:space="preserve">
      </w:t>
      </w:r>
      <w:r>
        <w:rPr>
          <w:rFonts w:ascii="Times New Roman"/>
          <w:b w:val="false"/>
          <w:i w:val="false"/>
          <w:color w:val="000000"/>
          <w:sz w:val="28"/>
        </w:rPr>
        <w:t>2) по договорам страхования жизни на случай смерти (сроком от 3 (трех) до 5 (пяти) лет) - 0,15 (ноль целых пятнадцать сотых)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r>
        <w:br/>
      </w:r>
      <w:r>
        <w:rPr>
          <w:rFonts w:ascii="Times New Roman"/>
          <w:b w:val="false"/>
          <w:i w:val="false"/>
          <w:color w:val="000000"/>
          <w:sz w:val="28"/>
        </w:rPr>
        <w:t xml:space="preserve">
      </w:t>
      </w:r>
      <w:r>
        <w:rPr>
          <w:rFonts w:ascii="Times New Roman"/>
          <w:b w:val="false"/>
          <w:i w:val="false"/>
          <w:color w:val="000000"/>
          <w:sz w:val="28"/>
        </w:rPr>
        <w:t>3) по остальным договорам страхования жизни на случай смерти - 0,3 (ноль целых три десятых)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20. Капитал под риском представляет собой совокупную страховую сумму по действующим договорам страхования жизни на случай смерти на конец предыдущего финансового года, уменьшенную на сумму рассчитанных страховых резервов по ним.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 Минимальный размер маржи платежеспособности по остальным договорам страхования по классам "страхование жизни", "страхование жизни в рамках государственной образовательной накопительной системы",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 за исключением договоров пенсионного аннуитета.</w:t>
      </w:r>
      <w:r>
        <w:br/>
      </w:r>
      <w:r>
        <w:rPr>
          <w:rFonts w:ascii="Times New Roman"/>
          <w:b w:val="false"/>
          <w:i w:val="false"/>
          <w:color w:val="000000"/>
          <w:sz w:val="28"/>
        </w:rPr>
        <w:t xml:space="preserve">
      </w:t>
      </w:r>
      <w:r>
        <w:rPr>
          <w:rFonts w:ascii="Times New Roman"/>
          <w:b w:val="false"/>
          <w:i w:val="false"/>
          <w:color w:val="000000"/>
          <w:sz w:val="28"/>
        </w:rPr>
        <w:t>Минимальный размер маржи платежеспособности по договорам пенсионного аннуитета, заключенным:</w:t>
      </w:r>
      <w:r>
        <w:br/>
      </w:r>
      <w:r>
        <w:rPr>
          <w:rFonts w:ascii="Times New Roman"/>
          <w:b w:val="false"/>
          <w:i w:val="false"/>
          <w:color w:val="000000"/>
          <w:sz w:val="28"/>
        </w:rPr>
        <w:t xml:space="preserve">
      </w:t>
      </w:r>
      <w:r>
        <w:rPr>
          <w:rFonts w:ascii="Times New Roman"/>
          <w:b w:val="false"/>
          <w:i w:val="false"/>
          <w:color w:val="000000"/>
          <w:sz w:val="28"/>
        </w:rPr>
        <w:t>1) до 1 января 2023 года, равен произведению 6 (шести)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r>
        <w:br/>
      </w:r>
      <w:r>
        <w:rPr>
          <w:rFonts w:ascii="Times New Roman"/>
          <w:b w:val="false"/>
          <w:i w:val="false"/>
          <w:color w:val="000000"/>
          <w:sz w:val="28"/>
        </w:rPr>
        <w:t xml:space="preserve">
      </w:t>
      </w:r>
      <w:r>
        <w:rPr>
          <w:rFonts w:ascii="Times New Roman"/>
          <w:b w:val="false"/>
          <w:i w:val="false"/>
          <w:color w:val="000000"/>
          <w:sz w:val="28"/>
        </w:rPr>
        <w:t>2) после 1 января 2023 года, равен произведению 8 (восьми)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r>
        <w:br/>
      </w: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 минимальный размер маржи платежеспособности рассчитывается в соответствии с пунктами 11, 12, 13 Нормативов.</w:t>
      </w:r>
      <w:r>
        <w:br/>
      </w: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7"/>
    <w:p>
      <w:pPr>
        <w:spacing w:after="0"/>
        <w:ind w:left="0"/>
        <w:jc w:val="left"/>
      </w:pPr>
      <w:r>
        <w:rPr>
          <w:rFonts w:ascii="Times New Roman"/>
          <w:b/>
          <w:i w:val="false"/>
          <w:color w:val="000000"/>
        </w:rPr>
        <w:t xml:space="preserve"> Параграф 4. Минимальный размер гарантийного фонда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Минимальный размер гарантийного фонда для страховых (перестраховочных) организаций составляет не менее следующих величин (в месячных расчетных показателях):</w:t>
      </w:r>
      <w:r>
        <w:br/>
      </w:r>
      <w:r>
        <w:rPr>
          <w:rFonts w:ascii="Times New Roman"/>
          <w:b w:val="false"/>
          <w:i w:val="false"/>
          <w:color w:val="000000"/>
          <w:sz w:val="28"/>
        </w:rPr>
        <w:t>
      для страховой организации, имеющей лицензию по отрасли "общее страхование" – 500 000 (пятьсот тысяч);</w:t>
      </w:r>
      <w:r>
        <w:br/>
      </w:r>
      <w:r>
        <w:rPr>
          <w:rFonts w:ascii="Times New Roman"/>
          <w:b w:val="false"/>
          <w:i w:val="false"/>
          <w:color w:val="000000"/>
          <w:sz w:val="28"/>
        </w:rPr>
        <w:t>
      для страховой организации, имеющей лицензию по отрасли "страхование жизни" – 500 000 (пятьсот тысяч);</w:t>
      </w:r>
      <w:r>
        <w:br/>
      </w:r>
      <w:r>
        <w:rPr>
          <w:rFonts w:ascii="Times New Roman"/>
          <w:b w:val="false"/>
          <w:i w:val="false"/>
          <w:color w:val="000000"/>
          <w:sz w:val="28"/>
        </w:rPr>
        <w:t>
      для страховой организации, имеющей лицензию по отрасли "общее страхование" и лицензию по перестрахованию – 700 000 (семьсот тысяч);</w:t>
      </w:r>
      <w:r>
        <w:br/>
      </w:r>
      <w:r>
        <w:rPr>
          <w:rFonts w:ascii="Times New Roman"/>
          <w:b w:val="false"/>
          <w:i w:val="false"/>
          <w:color w:val="000000"/>
          <w:sz w:val="28"/>
        </w:rPr>
        <w:t>
      для страховой организации, имеющей лицензию по отрасли "страхование жизни" и лицензию по перестрахованию – 700 000 (семьсот тысяч).</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xml:space="preserve">
      </w:t>
      </w:r>
      <w:r>
        <w:rPr>
          <w:rFonts w:ascii="Times New Roman"/>
          <w:b w:val="false"/>
          <w:i w:val="false"/>
          <w:color w:val="000000"/>
          <w:sz w:val="28"/>
        </w:rPr>
        <w:t>25. Минимальный размер гарантийного фонда для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26. Для страховой организации, имеющей лицензию в отрасли "общее страхование" по классу "ипотечное страхование", минимальный размер гарантийного фонда составляет 700 000 (семьсот тысяч) месячных расчетных показателей.</w:t>
      </w:r>
      <w:r>
        <w:br/>
      </w:r>
      <w:r>
        <w:rPr>
          <w:rFonts w:ascii="Times New Roman"/>
          <w:b w:val="false"/>
          <w:i w:val="false"/>
          <w:color w:val="000000"/>
          <w:sz w:val="28"/>
        </w:rPr>
        <w:t>
      Для перестраховочной организации, осуществляющей перестрахование как исключительный вид деятельности, минимальный размер гарантийного фонда составляет 3 500 000 (три миллиона пятьсот тысяч)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26-1. Минимальный размер гарантийного фонда для страховой (перестраховочной) организации, имеющей лицензию по отрасли "страхование жизни" и разработанные виды страхования, предусматривающие осуществление страховой выплаты в случае участия страхователя в инвестициях, увеличивается на:</w:t>
      </w:r>
      <w:r>
        <w:br/>
      </w:r>
      <w:r>
        <w:rPr>
          <w:rFonts w:ascii="Times New Roman"/>
          <w:b w:val="false"/>
          <w:i w:val="false"/>
          <w:color w:val="000000"/>
          <w:sz w:val="28"/>
        </w:rPr>
        <w:t>
      200 000 (двести тысяч) месячных расчетных показателей – при самостоятельном управлении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r>
        <w:br/>
      </w:r>
      <w:r>
        <w:rPr>
          <w:rFonts w:ascii="Times New Roman"/>
          <w:b w:val="false"/>
          <w:i w:val="false"/>
          <w:color w:val="000000"/>
          <w:sz w:val="28"/>
        </w:rPr>
        <w:t>
      100 000 (сто тысяч) месячных расчетных показателей – при передаче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27. Для целей расчета минимального размера гарантийного фонда используется размер месячного расчетного показателя, установленный законом о республиканском бюджете на соответствующий финансовый год, на конец отчетного периода.</w:t>
      </w:r>
      <w:r>
        <w:br/>
      </w:r>
      <w:r>
        <w:rPr>
          <w:rFonts w:ascii="Times New Roman"/>
          <w:b w:val="false"/>
          <w:i w:val="false"/>
          <w:color w:val="000000"/>
          <w:sz w:val="28"/>
        </w:rPr>
        <w:t>
</w:t>
      </w:r>
    </w:p>
    <w:bookmarkStart w:name="z152" w:id="8"/>
    <w:p>
      <w:pPr>
        <w:spacing w:after="0"/>
        <w:ind w:left="0"/>
        <w:jc w:val="left"/>
      </w:pPr>
      <w:r>
        <w:rPr>
          <w:rFonts w:ascii="Times New Roman"/>
          <w:b/>
          <w:i w:val="false"/>
          <w:color w:val="000000"/>
        </w:rPr>
        <w:t xml:space="preserve"> Параграф 5. Расчет фактической маржи платежеспособности страховой (перестраховочной) организации</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28. Фактическая маржа платежеспособности является наименьшей из двух величин, рассчитанных в соответствии с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Нормативов.</w:t>
      </w:r>
      <w:r>
        <w:br/>
      </w:r>
      <w:r>
        <w:rPr>
          <w:rFonts w:ascii="Times New Roman"/>
          <w:b w:val="false"/>
          <w:i w:val="false"/>
          <w:color w:val="000000"/>
          <w:sz w:val="28"/>
        </w:rPr>
        <w:t xml:space="preserve">
      </w:t>
      </w:r>
      <w:r>
        <w:rPr>
          <w:rFonts w:ascii="Times New Roman"/>
          <w:b w:val="false"/>
          <w:i w:val="false"/>
          <w:color w:val="000000"/>
          <w:sz w:val="28"/>
        </w:rPr>
        <w:t>29. Фактическая маржа платежеспособности, рассчитанная с учетом статей капитала, определяется по следующей формуле:</w:t>
      </w:r>
      <w:r>
        <w:br/>
      </w:r>
      <w:r>
        <w:rPr>
          <w:rFonts w:ascii="Times New Roman"/>
          <w:b w:val="false"/>
          <w:i w:val="false"/>
          <w:color w:val="000000"/>
          <w:sz w:val="28"/>
        </w:rPr>
        <w:t>
      ФМП = УК + НД – НМА – Упл – Уоп – И – СЗ, где:</w:t>
      </w:r>
      <w:r>
        <w:br/>
      </w:r>
      <w:r>
        <w:rPr>
          <w:rFonts w:ascii="Times New Roman"/>
          <w:b w:val="false"/>
          <w:i w:val="false"/>
          <w:color w:val="000000"/>
          <w:sz w:val="28"/>
        </w:rPr>
        <w:t>
      ФМП – фактическая маржа платежеспособности, рассчитанная с учетом статей капитала;</w:t>
      </w:r>
      <w:r>
        <w:br/>
      </w:r>
      <w:r>
        <w:rPr>
          <w:rFonts w:ascii="Times New Roman"/>
          <w:b w:val="false"/>
          <w:i w:val="false"/>
          <w:color w:val="000000"/>
          <w:sz w:val="28"/>
        </w:rPr>
        <w:t>
      УК – оплаченный уставный капитал за минусом привилегированных акций;</w:t>
      </w:r>
      <w:r>
        <w:br/>
      </w:r>
      <w:r>
        <w:rPr>
          <w:rFonts w:ascii="Times New Roman"/>
          <w:b w:val="false"/>
          <w:i w:val="false"/>
          <w:color w:val="000000"/>
          <w:sz w:val="28"/>
        </w:rPr>
        <w:t>
      НД – нераспределенный доход прошлых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r>
        <w:br/>
      </w:r>
      <w:r>
        <w:rPr>
          <w:rFonts w:ascii="Times New Roman"/>
          <w:b w:val="false"/>
          <w:i w:val="false"/>
          <w:color w:val="000000"/>
          <w:sz w:val="28"/>
        </w:rPr>
        <w:t>
      НМА –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w:t>
      </w:r>
      <w:r>
        <w:br/>
      </w:r>
      <w:r>
        <w:rPr>
          <w:rFonts w:ascii="Times New Roman"/>
          <w:b w:val="false"/>
          <w:i w:val="false"/>
          <w:color w:val="000000"/>
          <w:sz w:val="28"/>
        </w:rPr>
        <w:t>
      Упл – непокрытый убыток предыдущих лет;</w:t>
      </w:r>
      <w:r>
        <w:br/>
      </w:r>
      <w:r>
        <w:rPr>
          <w:rFonts w:ascii="Times New Roman"/>
          <w:b w:val="false"/>
          <w:i w:val="false"/>
          <w:color w:val="000000"/>
          <w:sz w:val="28"/>
        </w:rPr>
        <w:t>
      Уоп – непокрытый убыток отчетного периода;</w:t>
      </w:r>
      <w:r>
        <w:br/>
      </w:r>
      <w:r>
        <w:rPr>
          <w:rFonts w:ascii="Times New Roman"/>
          <w:b w:val="false"/>
          <w:i w:val="false"/>
          <w:color w:val="000000"/>
          <w:sz w:val="28"/>
        </w:rPr>
        <w:t>
      И – инвестиции в уставный капитал других юридических лиц;</w:t>
      </w:r>
      <w:r>
        <w:br/>
      </w:r>
      <w:r>
        <w:rPr>
          <w:rFonts w:ascii="Times New Roman"/>
          <w:b w:val="false"/>
          <w:i w:val="false"/>
          <w:color w:val="000000"/>
          <w:sz w:val="28"/>
        </w:rPr>
        <w:t xml:space="preserve">
      СЗ – субординированный заем, предоставленный лицам, которые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 Фактическая маржа платежеспособности может быть увеличена на сумму привилегированных акций и субординированного долга в сумме, не превышающей 50 (пятьдесят) процентов от фактической маржи платежеспособности или от минимального размера маржи платежеспособности (в зависимости от того, какой показатель меньше). Привилегированные акции и субординированный долг с фиксированным сроком погашения в сумме не могут превышать 50 (пятьдесят) процентов от общей суммы привилегированных акций и субординированного долга.</w:t>
      </w:r>
      <w:r>
        <w:br/>
      </w:r>
      <w:r>
        <w:rPr>
          <w:rFonts w:ascii="Times New Roman"/>
          <w:b w:val="false"/>
          <w:i w:val="false"/>
          <w:color w:val="000000"/>
          <w:sz w:val="28"/>
        </w:rPr>
        <w:t xml:space="preserve">
      </w:t>
      </w:r>
      <w:r>
        <w:rPr>
          <w:rFonts w:ascii="Times New Roman"/>
          <w:b w:val="false"/>
          <w:i w:val="false"/>
          <w:color w:val="000000"/>
          <w:sz w:val="28"/>
        </w:rPr>
        <w:t>31. Субординированный долг соответствует следующим условиям:</w:t>
      </w:r>
      <w:r>
        <w:br/>
      </w:r>
      <w:r>
        <w:rPr>
          <w:rFonts w:ascii="Times New Roman"/>
          <w:b w:val="false"/>
          <w:i w:val="false"/>
          <w:color w:val="000000"/>
          <w:sz w:val="28"/>
        </w:rPr>
        <w:t xml:space="preserve">
      </w:t>
      </w:r>
      <w:r>
        <w:rPr>
          <w:rFonts w:ascii="Times New Roman"/>
          <w:b w:val="false"/>
          <w:i w:val="false"/>
          <w:color w:val="000000"/>
          <w:sz w:val="28"/>
        </w:rPr>
        <w:t>1) учитывается только полностью оплаченная сумма фактически полученных страховой (перестраховочной) организацией денег;</w:t>
      </w:r>
      <w:r>
        <w:br/>
      </w:r>
      <w:r>
        <w:rPr>
          <w:rFonts w:ascii="Times New Roman"/>
          <w:b w:val="false"/>
          <w:i w:val="false"/>
          <w:color w:val="000000"/>
          <w:sz w:val="28"/>
        </w:rPr>
        <w:t xml:space="preserve">
      </w:t>
      </w:r>
      <w:r>
        <w:rPr>
          <w:rFonts w:ascii="Times New Roman"/>
          <w:b w:val="false"/>
          <w:i w:val="false"/>
          <w:color w:val="000000"/>
          <w:sz w:val="28"/>
        </w:rPr>
        <w:t>2) срок погашения субординированного долга с фиксированным сроком погашения составляет не менее 5 (пяти) лет. Не менее чем за 1 (один) год до даты погашения субординированного долга страховая (перестраховочная) организация представляет в уполномоченный орган план обеспечения фактической маржи платежеспособности на момент погашения. Данное требование не распространяется на случаи, если субординированный долг включается в расчет фактической маржи платежеспособности в следующем порядке:</w:t>
      </w:r>
      <w:r>
        <w:br/>
      </w:r>
      <w:r>
        <w:rPr>
          <w:rFonts w:ascii="Times New Roman"/>
          <w:b w:val="false"/>
          <w:i w:val="false"/>
          <w:color w:val="000000"/>
          <w:sz w:val="28"/>
        </w:rPr>
        <w:t xml:space="preserve">
      </w:t>
      </w:r>
      <w:r>
        <w:rPr>
          <w:rFonts w:ascii="Times New Roman"/>
          <w:b w:val="false"/>
          <w:i w:val="false"/>
          <w:color w:val="000000"/>
          <w:sz w:val="28"/>
        </w:rPr>
        <w:t xml:space="preserve">в течение срока более 5 (пяти) лет до начала погашения долга - в полной сумме долга; </w:t>
      </w:r>
      <w:r>
        <w:br/>
      </w:r>
      <w:r>
        <w:rPr>
          <w:rFonts w:ascii="Times New Roman"/>
          <w:b w:val="false"/>
          <w:i w:val="false"/>
          <w:color w:val="000000"/>
          <w:sz w:val="28"/>
        </w:rPr>
        <w:t xml:space="preserve">
      </w:t>
      </w:r>
      <w:r>
        <w:rPr>
          <w:rFonts w:ascii="Times New Roman"/>
          <w:b w:val="false"/>
          <w:i w:val="false"/>
          <w:color w:val="000000"/>
          <w:sz w:val="28"/>
        </w:rPr>
        <w:t>в течение 5 (пяти) лет, оставшихся до начала погашения долга:</w:t>
      </w:r>
      <w:r>
        <w:br/>
      </w:r>
      <w:r>
        <w:rPr>
          <w:rFonts w:ascii="Times New Roman"/>
          <w:b w:val="false"/>
          <w:i w:val="false"/>
          <w:color w:val="000000"/>
          <w:sz w:val="28"/>
        </w:rPr>
        <w:t xml:space="preserve">
      </w:t>
      </w:r>
      <w:r>
        <w:rPr>
          <w:rFonts w:ascii="Times New Roman"/>
          <w:b w:val="false"/>
          <w:i w:val="false"/>
          <w:color w:val="000000"/>
          <w:sz w:val="28"/>
        </w:rPr>
        <w:t>1-й год - 100 (сто) процентов суммы субординированного долга;</w:t>
      </w:r>
      <w:r>
        <w:br/>
      </w:r>
      <w:r>
        <w:rPr>
          <w:rFonts w:ascii="Times New Roman"/>
          <w:b w:val="false"/>
          <w:i w:val="false"/>
          <w:color w:val="000000"/>
          <w:sz w:val="28"/>
        </w:rPr>
        <w:t xml:space="preserve">
      </w:t>
      </w:r>
      <w:r>
        <w:rPr>
          <w:rFonts w:ascii="Times New Roman"/>
          <w:b w:val="false"/>
          <w:i w:val="false"/>
          <w:color w:val="000000"/>
          <w:sz w:val="28"/>
        </w:rPr>
        <w:t>2-й год - 80 (восемьдесят) процентов суммы субординированного долга;</w:t>
      </w:r>
      <w:r>
        <w:br/>
      </w:r>
      <w:r>
        <w:rPr>
          <w:rFonts w:ascii="Times New Roman"/>
          <w:b w:val="false"/>
          <w:i w:val="false"/>
          <w:color w:val="000000"/>
          <w:sz w:val="28"/>
        </w:rPr>
        <w:t xml:space="preserve">
      </w:t>
      </w:r>
      <w:r>
        <w:rPr>
          <w:rFonts w:ascii="Times New Roman"/>
          <w:b w:val="false"/>
          <w:i w:val="false"/>
          <w:color w:val="000000"/>
          <w:sz w:val="28"/>
        </w:rPr>
        <w:t>3-й год - 60 (шестьдесят) процентов суммы субординированного долга;</w:t>
      </w:r>
      <w:r>
        <w:br/>
      </w:r>
      <w:r>
        <w:rPr>
          <w:rFonts w:ascii="Times New Roman"/>
          <w:b w:val="false"/>
          <w:i w:val="false"/>
          <w:color w:val="000000"/>
          <w:sz w:val="28"/>
        </w:rPr>
        <w:t xml:space="preserve">
      </w:t>
      </w:r>
      <w:r>
        <w:rPr>
          <w:rFonts w:ascii="Times New Roman"/>
          <w:b w:val="false"/>
          <w:i w:val="false"/>
          <w:color w:val="000000"/>
          <w:sz w:val="28"/>
        </w:rPr>
        <w:t>4-й год - 40 (сорок) процентов суммы субординированного долга;</w:t>
      </w:r>
      <w:r>
        <w:br/>
      </w:r>
      <w:r>
        <w:rPr>
          <w:rFonts w:ascii="Times New Roman"/>
          <w:b w:val="false"/>
          <w:i w:val="false"/>
          <w:color w:val="000000"/>
          <w:sz w:val="28"/>
        </w:rPr>
        <w:t xml:space="preserve">
      </w:t>
      </w:r>
      <w:r>
        <w:rPr>
          <w:rFonts w:ascii="Times New Roman"/>
          <w:b w:val="false"/>
          <w:i w:val="false"/>
          <w:color w:val="000000"/>
          <w:sz w:val="28"/>
        </w:rPr>
        <w:t>5-й год - 20 (двадцать) процентов суммы субординированного долга;</w:t>
      </w:r>
      <w:r>
        <w:br/>
      </w:r>
      <w:r>
        <w:rPr>
          <w:rFonts w:ascii="Times New Roman"/>
          <w:b w:val="false"/>
          <w:i w:val="false"/>
          <w:color w:val="000000"/>
          <w:sz w:val="28"/>
        </w:rPr>
        <w:t xml:space="preserve">
      </w:t>
      </w:r>
      <w:r>
        <w:rPr>
          <w:rFonts w:ascii="Times New Roman"/>
          <w:b w:val="false"/>
          <w:i w:val="false"/>
          <w:color w:val="000000"/>
          <w:sz w:val="28"/>
        </w:rPr>
        <w:t>3) в случае погашения субординированного долга, не имеющего фиксированного срока погашения, страховая (перестраховочная) организация не менее чем за 5 (пять) лет до предполагаемого срока погашения представляет в уполномоченный орган план обеспечения фактической маржи платежеспособности. Настоящее требование не распространяется на случаи, когда субординированный долг не включается страховой (перестраховочной) организацией в расчет фактической маржи платежеспособности, а также в случае его досрочного погашения. В этом случае страховая (перестраховочная) организация получает заключение уполномоченного органа на досрочное погашение субординированного долга за 6 (шесть) месяцев до предполагаемой даты погашения, предварительно представив план обеспечения фактической маржи платежеспособности до и после такого погашения;</w:t>
      </w:r>
      <w:r>
        <w:br/>
      </w:r>
      <w:r>
        <w:rPr>
          <w:rFonts w:ascii="Times New Roman"/>
          <w:b w:val="false"/>
          <w:i w:val="false"/>
          <w:color w:val="000000"/>
          <w:sz w:val="28"/>
        </w:rPr>
        <w:t xml:space="preserve">
      </w:t>
      </w:r>
      <w:r>
        <w:rPr>
          <w:rFonts w:ascii="Times New Roman"/>
          <w:b w:val="false"/>
          <w:i w:val="false"/>
          <w:color w:val="000000"/>
          <w:sz w:val="28"/>
        </w:rPr>
        <w:t>4) субординированный долг подлежит погашению в согласованные с уполномоченным органом даты, за исключением ликвидации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5) изменение условий субординированного долга осуществляется только при наличии согласия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в соответствии с Законом и условиями выпуска ценных бумаг, определенными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а также в соответствии с актами Международного финансового центра "Астана".</w:t>
      </w:r>
      <w:r>
        <w:br/>
      </w:r>
      <w:r>
        <w:rPr>
          <w:rFonts w:ascii="Times New Roman"/>
          <w:b w:val="false"/>
          <w:i w:val="false"/>
          <w:color w:val="000000"/>
          <w:sz w:val="28"/>
        </w:rPr>
        <w:t>
      Кроме условий, указанных в пунктах 30 и 31 Нормативов, облигации, являющиеся субординированным долгом страховой (перестраховочной) организации, также соответствуют следующим условиям:</w:t>
      </w:r>
      <w:r>
        <w:br/>
      </w:r>
      <w:r>
        <w:rPr>
          <w:rFonts w:ascii="Times New Roman"/>
          <w:b w:val="false"/>
          <w:i w:val="false"/>
          <w:color w:val="000000"/>
          <w:sz w:val="28"/>
        </w:rPr>
        <w:t>
      не подлежат погашению по инициативе собственника облигаций или без предварительного согласия уполномоченного органа;</w:t>
      </w:r>
      <w:r>
        <w:br/>
      </w:r>
      <w:r>
        <w:rPr>
          <w:rFonts w:ascii="Times New Roman"/>
          <w:b w:val="false"/>
          <w:i w:val="false"/>
          <w:color w:val="000000"/>
          <w:sz w:val="28"/>
        </w:rPr>
        <w:t>
      условия выпуска ценных бумаг предусматривают корректировку основного долга и невыплаченного вознаграждения в случае убытков и при этом обеспечивает страховой (перестраховочной) организации возможность продолжать свою деятельность.</w:t>
      </w:r>
      <w:r>
        <w:br/>
      </w: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 Фактическая маржа платежеспособности, рассчитанная с учетом классификации активов по качеству и ликвидности, определяется по следующей формуле:</w:t>
      </w:r>
      <w:r>
        <w:br/>
      </w:r>
      <w:r>
        <w:rPr>
          <w:rFonts w:ascii="Times New Roman"/>
          <w:b w:val="false"/>
          <w:i w:val="false"/>
          <w:color w:val="000000"/>
          <w:sz w:val="28"/>
        </w:rPr>
        <w:t xml:space="preserve">
      </w:t>
      </w:r>
      <w:r>
        <w:rPr>
          <w:rFonts w:ascii="Times New Roman"/>
          <w:b w:val="false"/>
          <w:i w:val="false"/>
          <w:color w:val="000000"/>
          <w:sz w:val="28"/>
        </w:rPr>
        <w:t>ФМП = АКЛ - СР - О, где:</w:t>
      </w:r>
      <w:r>
        <w:br/>
      </w:r>
      <w:r>
        <w:rPr>
          <w:rFonts w:ascii="Times New Roman"/>
          <w:b w:val="false"/>
          <w:i w:val="false"/>
          <w:color w:val="000000"/>
          <w:sz w:val="28"/>
        </w:rPr>
        <w:t xml:space="preserve">
      </w:t>
      </w:r>
      <w:r>
        <w:rPr>
          <w:rFonts w:ascii="Times New Roman"/>
          <w:b w:val="false"/>
          <w:i w:val="false"/>
          <w:color w:val="000000"/>
          <w:sz w:val="28"/>
        </w:rPr>
        <w:t>АКЛ - активы с учетом их классификации по качеству и ликвидности в соответствии с пунктом 34 Нормативов;</w:t>
      </w:r>
      <w:r>
        <w:br/>
      </w:r>
      <w:r>
        <w:rPr>
          <w:rFonts w:ascii="Times New Roman"/>
          <w:b w:val="false"/>
          <w:i w:val="false"/>
          <w:color w:val="000000"/>
          <w:sz w:val="28"/>
        </w:rPr>
        <w:t xml:space="preserve">
      </w:t>
      </w:r>
      <w:r>
        <w:rPr>
          <w:rFonts w:ascii="Times New Roman"/>
          <w:b w:val="false"/>
          <w:i w:val="false"/>
          <w:color w:val="000000"/>
          <w:sz w:val="28"/>
        </w:rPr>
        <w:t>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r>
        <w:br/>
      </w:r>
      <w:r>
        <w:rPr>
          <w:rFonts w:ascii="Times New Roman"/>
          <w:b w:val="false"/>
          <w:i w:val="false"/>
          <w:color w:val="000000"/>
          <w:sz w:val="28"/>
        </w:rPr>
        <w:t xml:space="preserve">
      </w:t>
      </w:r>
      <w:r>
        <w:rPr>
          <w:rFonts w:ascii="Times New Roman"/>
          <w:b w:val="false"/>
          <w:i w:val="false"/>
          <w:color w:val="000000"/>
          <w:sz w:val="28"/>
        </w:rPr>
        <w:t>О - обязательства, за исключением страховых резервов.</w:t>
      </w:r>
      <w:r>
        <w:br/>
      </w: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 В расчет стоимости активов страховой (перестраховочной) организации с учетом их классификации по качеству и ликвидности, включаются:</w:t>
      </w:r>
      <w:r>
        <w:br/>
      </w:r>
      <w:r>
        <w:rPr>
          <w:rFonts w:ascii="Times New Roman"/>
          <w:b w:val="false"/>
          <w:i w:val="false"/>
          <w:color w:val="000000"/>
          <w:sz w:val="28"/>
        </w:rPr>
        <w:t xml:space="preserve">
      </w:t>
      </w:r>
      <w:r>
        <w:rPr>
          <w:rFonts w:ascii="Times New Roman"/>
          <w:b w:val="false"/>
          <w:i w:val="false"/>
          <w:color w:val="000000"/>
          <w:sz w:val="28"/>
        </w:rPr>
        <w:t>1) деньги:</w:t>
      </w:r>
      <w:r>
        <w:br/>
      </w:r>
      <w:r>
        <w:rPr>
          <w:rFonts w:ascii="Times New Roman"/>
          <w:b w:val="false"/>
          <w:i w:val="false"/>
          <w:color w:val="000000"/>
          <w:sz w:val="28"/>
        </w:rPr>
        <w:t xml:space="preserve">
      </w:t>
      </w:r>
      <w:r>
        <w:rPr>
          <w:rFonts w:ascii="Times New Roman"/>
          <w:b w:val="false"/>
          <w:i w:val="false"/>
          <w:color w:val="000000"/>
          <w:sz w:val="28"/>
        </w:rPr>
        <w:t>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r>
        <w:br/>
      </w:r>
      <w:r>
        <w:rPr>
          <w:rFonts w:ascii="Times New Roman"/>
          <w:b w:val="false"/>
          <w:i w:val="false"/>
          <w:color w:val="000000"/>
          <w:sz w:val="28"/>
        </w:rPr>
        <w:t xml:space="preserve">
      </w:t>
      </w:r>
      <w:r>
        <w:rPr>
          <w:rFonts w:ascii="Times New Roman"/>
          <w:b w:val="false"/>
          <w:i w:val="false"/>
          <w:color w:val="000000"/>
          <w:sz w:val="28"/>
        </w:rPr>
        <w:t>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r>
        <w:br/>
      </w:r>
      <w:r>
        <w:rPr>
          <w:rFonts w:ascii="Times New Roman"/>
          <w:b w:val="false"/>
          <w:i w:val="false"/>
          <w:color w:val="000000"/>
          <w:sz w:val="28"/>
        </w:rPr>
        <w:t xml:space="preserve">
      </w:t>
      </w:r>
      <w:r>
        <w:rPr>
          <w:rFonts w:ascii="Times New Roman"/>
          <w:b w:val="false"/>
          <w:i w:val="false"/>
          <w:color w:val="000000"/>
          <w:sz w:val="28"/>
        </w:rPr>
        <w:t>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r>
        <w:br/>
      </w:r>
      <w:r>
        <w:rPr>
          <w:rFonts w:ascii="Times New Roman"/>
          <w:b w:val="false"/>
          <w:i w:val="false"/>
          <w:color w:val="000000"/>
          <w:sz w:val="28"/>
        </w:rPr>
        <w:t xml:space="preserve">
      </w:t>
      </w:r>
      <w:r>
        <w:rPr>
          <w:rFonts w:ascii="Times New Roman"/>
          <w:b w:val="false"/>
          <w:i w:val="false"/>
          <w:color w:val="000000"/>
          <w:sz w:val="28"/>
        </w:rPr>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 – в объеме 100 (сто) процентов от балансовой стоимости;</w:t>
      </w:r>
      <w:r>
        <w:br/>
      </w:r>
      <w:r>
        <w:rPr>
          <w:rFonts w:ascii="Times New Roman"/>
          <w:b w:val="false"/>
          <w:i w:val="false"/>
          <w:color w:val="000000"/>
          <w:sz w:val="28"/>
        </w:rPr>
        <w:t xml:space="preserve">
      </w:t>
      </w:r>
      <w:r>
        <w:rPr>
          <w:rFonts w:ascii="Times New Roman"/>
          <w:b w:val="false"/>
          <w:i w:val="false"/>
          <w:color w:val="000000"/>
          <w:sz w:val="28"/>
        </w:rPr>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 в объеме 100 (сто) процентов от балансовой стоимости;</w:t>
      </w:r>
      <w:r>
        <w:br/>
      </w:r>
      <w:r>
        <w:rPr>
          <w:rFonts w:ascii="Times New Roman"/>
          <w:b w:val="false"/>
          <w:i w:val="false"/>
          <w:color w:val="000000"/>
          <w:sz w:val="28"/>
        </w:rPr>
        <w:t xml:space="preserve">
      </w:t>
      </w:r>
      <w:r>
        <w:rPr>
          <w:rFonts w:ascii="Times New Roman"/>
          <w:b w:val="false"/>
          <w:i w:val="false"/>
          <w:color w:val="000000"/>
          <w:sz w:val="28"/>
        </w:rPr>
        <w:t>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r>
        <w:br/>
      </w:r>
      <w:r>
        <w:rPr>
          <w:rFonts w:ascii="Times New Roman"/>
          <w:b w:val="false"/>
          <w:i w:val="false"/>
          <w:color w:val="000000"/>
          <w:sz w:val="28"/>
        </w:rPr>
        <w:t xml:space="preserve">
      </w:t>
      </w:r>
      <w:r>
        <w:rPr>
          <w:rFonts w:ascii="Times New Roman"/>
          <w:b w:val="false"/>
          <w:i w:val="false"/>
          <w:color w:val="000000"/>
          <w:sz w:val="28"/>
        </w:rPr>
        <w:t>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r>
        <w:br/>
      </w:r>
      <w:r>
        <w:rPr>
          <w:rFonts w:ascii="Times New Roman"/>
          <w:b w:val="false"/>
          <w:i w:val="false"/>
          <w:color w:val="000000"/>
          <w:sz w:val="28"/>
        </w:rPr>
        <w:t xml:space="preserve">
      </w:t>
      </w:r>
      <w:r>
        <w:rPr>
          <w:rFonts w:ascii="Times New Roman"/>
          <w:b w:val="false"/>
          <w:i w:val="false"/>
          <w:color w:val="000000"/>
          <w:sz w:val="28"/>
        </w:rPr>
        <w:t>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r>
        <w:br/>
      </w:r>
      <w:r>
        <w:rPr>
          <w:rFonts w:ascii="Times New Roman"/>
          <w:b w:val="false"/>
          <w:i w:val="false"/>
          <w:color w:val="000000"/>
          <w:sz w:val="28"/>
        </w:rPr>
        <w:t xml:space="preserve">
      </w:t>
      </w:r>
      <w:r>
        <w:rPr>
          <w:rFonts w:ascii="Times New Roman"/>
          <w:b w:val="false"/>
          <w:i w:val="false"/>
          <w:color w:val="000000"/>
          <w:sz w:val="28"/>
        </w:rPr>
        <w:t>5) финансовые инструменты, указанные в подпунктах 8), 9), 10), 11), 12), 13), 14), 15), 16), 17), 18), 19), 20), 21), 22), 23), 24), 25), 26), 27) и 29)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r>
        <w:br/>
      </w:r>
      <w:r>
        <w:rPr>
          <w:rFonts w:ascii="Times New Roman"/>
          <w:b w:val="false"/>
          <w:i w:val="false"/>
          <w:color w:val="000000"/>
          <w:sz w:val="28"/>
        </w:rPr>
        <w:t xml:space="preserve">
      </w:t>
      </w:r>
      <w:r>
        <w:rPr>
          <w:rFonts w:ascii="Times New Roman"/>
          <w:b w:val="false"/>
          <w:i w:val="false"/>
          <w:color w:val="000000"/>
          <w:sz w:val="28"/>
        </w:rPr>
        <w:t>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r>
        <w:br/>
      </w:r>
      <w:r>
        <w:rPr>
          <w:rFonts w:ascii="Times New Roman"/>
          <w:b w:val="false"/>
          <w:i w:val="false"/>
          <w:color w:val="000000"/>
          <w:sz w:val="28"/>
        </w:rPr>
        <w:t xml:space="preserve">
      </w:t>
      </w:r>
      <w:r>
        <w:rPr>
          <w:rFonts w:ascii="Times New Roman"/>
          <w:b w:val="false"/>
          <w:i w:val="false"/>
          <w:color w:val="000000"/>
          <w:sz w:val="28"/>
        </w:rPr>
        <w:t>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r>
        <w:br/>
      </w:r>
      <w:r>
        <w:rPr>
          <w:rFonts w:ascii="Times New Roman"/>
          <w:b w:val="false"/>
          <w:i w:val="false"/>
          <w:color w:val="000000"/>
          <w:sz w:val="28"/>
        </w:rPr>
        <w:t xml:space="preserve">
      </w:t>
      </w:r>
      <w:r>
        <w:rPr>
          <w:rFonts w:ascii="Times New Roman"/>
          <w:b w:val="false"/>
          <w:i w:val="false"/>
          <w:color w:val="000000"/>
          <w:sz w:val="28"/>
        </w:rPr>
        <w:t>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 в срок до 30 (тридцатого) апреля (включительно) года, следующего за отчетным годом;</w:t>
      </w:r>
      <w:r>
        <w:br/>
      </w:r>
      <w:r>
        <w:rPr>
          <w:rFonts w:ascii="Times New Roman"/>
          <w:b w:val="false"/>
          <w:i w:val="false"/>
          <w:color w:val="000000"/>
          <w:sz w:val="28"/>
        </w:rPr>
        <w:t xml:space="preserve">
      </w:t>
      </w:r>
      <w:r>
        <w:rPr>
          <w:rFonts w:ascii="Times New Roman"/>
          <w:b w:val="false"/>
          <w:i w:val="false"/>
          <w:color w:val="000000"/>
          <w:sz w:val="28"/>
        </w:rPr>
        <w:t xml:space="preserve">8)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настоящего пункта; </w:t>
      </w:r>
      <w:r>
        <w:br/>
      </w:r>
      <w:r>
        <w:rPr>
          <w:rFonts w:ascii="Times New Roman"/>
          <w:b w:val="false"/>
          <w:i w:val="false"/>
          <w:color w:val="000000"/>
          <w:sz w:val="28"/>
        </w:rPr>
        <w:t xml:space="preserve">
      </w:t>
      </w:r>
      <w:r>
        <w:rPr>
          <w:rFonts w:ascii="Times New Roman"/>
          <w:b w:val="false"/>
          <w:i w:val="false"/>
          <w:color w:val="000000"/>
          <w:sz w:val="28"/>
        </w:rPr>
        <w:t>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r>
        <w:br/>
      </w:r>
      <w:r>
        <w:rPr>
          <w:rFonts w:ascii="Times New Roman"/>
          <w:b w:val="false"/>
          <w:i w:val="false"/>
          <w:color w:val="000000"/>
          <w:sz w:val="28"/>
        </w:rPr>
        <w:t xml:space="preserve">
      </w:t>
      </w:r>
      <w:r>
        <w:rPr>
          <w:rFonts w:ascii="Times New Roman"/>
          <w:b w:val="false"/>
          <w:i w:val="false"/>
          <w:color w:val="000000"/>
          <w:sz w:val="28"/>
        </w:rPr>
        <w:t>10)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r>
        <w:br/>
      </w:r>
      <w:r>
        <w:rPr>
          <w:rFonts w:ascii="Times New Roman"/>
          <w:b w:val="false"/>
          <w:i w:val="false"/>
          <w:color w:val="000000"/>
          <w:sz w:val="28"/>
        </w:rPr>
        <w:t xml:space="preserve">
      </w:t>
      </w:r>
      <w:r>
        <w:rPr>
          <w:rFonts w:ascii="Times New Roman"/>
          <w:b w:val="false"/>
          <w:i w:val="false"/>
          <w:color w:val="000000"/>
          <w:sz w:val="28"/>
        </w:rPr>
        <w:t>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w:t>
      </w:r>
      <w:r>
        <w:br/>
      </w:r>
      <w:r>
        <w:rPr>
          <w:rFonts w:ascii="Times New Roman"/>
          <w:b w:val="false"/>
          <w:i w:val="false"/>
          <w:color w:val="000000"/>
          <w:sz w:val="28"/>
        </w:rPr>
        <w:t xml:space="preserve">
      </w:t>
      </w:r>
      <w:r>
        <w:rPr>
          <w:rFonts w:ascii="Times New Roman"/>
          <w:b w:val="false"/>
          <w:i w:val="false"/>
          <w:color w:val="000000"/>
          <w:sz w:val="28"/>
        </w:rPr>
        <w:t>юридическое лицо с рейтингом не ниже "ВВ+" рейтингового агентства Standard &amp; Poor's (Стандард энд Пурс) или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крупное системообразующее предприятие, соответствующее следующим критериям:</w:t>
      </w:r>
      <w:r>
        <w:br/>
      </w:r>
      <w:r>
        <w:rPr>
          <w:rFonts w:ascii="Times New Roman"/>
          <w:b w:val="false"/>
          <w:i w:val="false"/>
          <w:color w:val="000000"/>
          <w:sz w:val="28"/>
        </w:rPr>
        <w:t xml:space="preserve">
      </w:t>
      </w:r>
      <w:r>
        <w:rPr>
          <w:rFonts w:ascii="Times New Roman"/>
          <w:b w:val="false"/>
          <w:i w:val="false"/>
          <w:color w:val="000000"/>
          <w:sz w:val="28"/>
        </w:rPr>
        <w:t>выручка от реализации продукции (оказания услуг) составляет не менее 50 (пятидесяти) миллиардов тенге ежегодно за последние 2 (два) года;</w:t>
      </w:r>
      <w:r>
        <w:br/>
      </w:r>
      <w:r>
        <w:rPr>
          <w:rFonts w:ascii="Times New Roman"/>
          <w:b w:val="false"/>
          <w:i w:val="false"/>
          <w:color w:val="000000"/>
          <w:sz w:val="28"/>
        </w:rPr>
        <w:t xml:space="preserve">
      </w:t>
      </w:r>
      <w:r>
        <w:rPr>
          <w:rFonts w:ascii="Times New Roman"/>
          <w:b w:val="false"/>
          <w:i w:val="false"/>
          <w:color w:val="000000"/>
          <w:sz w:val="28"/>
        </w:rPr>
        <w:t>налоговые отчисления составляют не менее 3 (трех) миллиардов тенге ежегодно за последние 2 (два) года.</w:t>
      </w:r>
      <w:r>
        <w:br/>
      </w:r>
      <w:r>
        <w:rPr>
          <w:rFonts w:ascii="Times New Roman"/>
          <w:b w:val="false"/>
          <w:i w:val="false"/>
          <w:color w:val="000000"/>
          <w:sz w:val="28"/>
        </w:rPr>
        <w:t xml:space="preserve">
      </w:t>
      </w:r>
      <w:r>
        <w:rPr>
          <w:rFonts w:ascii="Times New Roman"/>
          <w:b w:val="false"/>
          <w:i w:val="false"/>
          <w:color w:val="000000"/>
          <w:sz w:val="28"/>
        </w:rPr>
        <w:t>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при совершении сделок с финансовыми инструментами (деньги, указанные в абзаце шестом подпункта 1) части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дебиторская задолженность, просроченная по условиям договора на срок более 3 (трех) рабочих дней;</w:t>
      </w:r>
      <w:r>
        <w:br/>
      </w:r>
      <w:r>
        <w:rPr>
          <w:rFonts w:ascii="Times New Roman"/>
          <w:b w:val="false"/>
          <w:i w:val="false"/>
          <w:color w:val="000000"/>
          <w:sz w:val="28"/>
        </w:rPr>
        <w:t xml:space="preserve">
      </w:t>
      </w:r>
      <w:r>
        <w:rPr>
          <w:rFonts w:ascii="Times New Roman"/>
          <w:b w:val="false"/>
          <w:i w:val="false"/>
          <w:color w:val="000000"/>
          <w:sz w:val="28"/>
        </w:rPr>
        <w:t>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r>
        <w:br/>
      </w:r>
      <w:r>
        <w:rPr>
          <w:rFonts w:ascii="Times New Roman"/>
          <w:b w:val="false"/>
          <w:i w:val="false"/>
          <w:color w:val="000000"/>
          <w:sz w:val="28"/>
        </w:rPr>
        <w:t xml:space="preserve">
      </w:t>
      </w:r>
      <w:r>
        <w:rPr>
          <w:rFonts w:ascii="Times New Roman"/>
          <w:b w:val="false"/>
          <w:i w:val="false"/>
          <w:color w:val="000000"/>
          <w:sz w:val="28"/>
        </w:rPr>
        <w:t>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r>
        <w:br/>
      </w:r>
      <w:r>
        <w:rPr>
          <w:rFonts w:ascii="Times New Roman"/>
          <w:b w:val="false"/>
          <w:i w:val="false"/>
          <w:color w:val="000000"/>
          <w:sz w:val="28"/>
        </w:rPr>
        <w:t xml:space="preserve">
      </w:t>
      </w:r>
      <w:r>
        <w:rPr>
          <w:rFonts w:ascii="Times New Roman"/>
          <w:b w:val="false"/>
          <w:i w:val="false"/>
          <w:color w:val="000000"/>
          <w:sz w:val="28"/>
        </w:rPr>
        <w:t>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r>
        <w:br/>
      </w:r>
      <w:r>
        <w:rPr>
          <w:rFonts w:ascii="Times New Roman"/>
          <w:b w:val="false"/>
          <w:i w:val="false"/>
          <w:color w:val="000000"/>
          <w:sz w:val="28"/>
        </w:rPr>
        <w:t xml:space="preserve">
      </w:t>
      </w:r>
      <w:r>
        <w:rPr>
          <w:rFonts w:ascii="Times New Roman"/>
          <w:b w:val="false"/>
          <w:i w:val="false"/>
          <w:color w:val="000000"/>
          <w:sz w:val="28"/>
        </w:rPr>
        <w:t>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r>
        <w:br/>
      </w: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9"/>
    <w:p>
      <w:pPr>
        <w:spacing w:after="0"/>
        <w:ind w:left="0"/>
        <w:jc w:val="left"/>
      </w:pPr>
      <w:r>
        <w:rPr>
          <w:rFonts w:ascii="Times New Roman"/>
          <w:b/>
          <w:i w:val="false"/>
          <w:color w:val="000000"/>
        </w:rPr>
        <w:t xml:space="preserve"> Глава 4. Норматив достаточности высоколиквидных активов</w:t>
      </w:r>
    </w:p>
    <w:bookmarkEnd w:id="9"/>
    <w:p>
      <w:pPr>
        <w:spacing w:after="0"/>
        <w:ind w:left="0"/>
        <w:jc w:val="left"/>
      </w:pPr>
      <w:r>
        <w:rPr>
          <w:rFonts w:ascii="Times New Roman"/>
          <w:b w:val="false"/>
          <w:i w:val="false"/>
          <w:color w:val="000000"/>
          <w:sz w:val="28"/>
        </w:rPr>
        <w:t>      35.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r>
        <w:br/>
      </w:r>
      <w:r>
        <w:rPr>
          <w:rFonts w:ascii="Times New Roman"/>
          <w:b w:val="false"/>
          <w:i w:val="false"/>
          <w:color w:val="000000"/>
          <w:sz w:val="28"/>
        </w:rPr>
        <w:t xml:space="preserve">
      </w:t>
      </w:r>
      <w:r>
        <w:rPr>
          <w:rFonts w:ascii="Times New Roman"/>
          <w:b w:val="false"/>
          <w:i w:val="false"/>
          <w:color w:val="000000"/>
          <w:sz w:val="28"/>
        </w:rPr>
        <w:t>ВА Нва = ------------- &gt; 1, где: СР</w:t>
      </w:r>
      <w:r>
        <w:br/>
      </w:r>
      <w:r>
        <w:rPr>
          <w:rFonts w:ascii="Times New Roman"/>
          <w:b w:val="false"/>
          <w:i w:val="false"/>
          <w:color w:val="000000"/>
          <w:sz w:val="28"/>
        </w:rPr>
        <w:t xml:space="preserve">
      </w:t>
      </w:r>
      <w:r>
        <w:rPr>
          <w:rFonts w:ascii="Times New Roman"/>
          <w:b w:val="false"/>
          <w:i w:val="false"/>
          <w:color w:val="000000"/>
          <w:sz w:val="28"/>
        </w:rPr>
        <w:t>Нва - норматив достаточности высоколиквидных активов;</w:t>
      </w:r>
      <w:r>
        <w:br/>
      </w:r>
      <w:r>
        <w:rPr>
          <w:rFonts w:ascii="Times New Roman"/>
          <w:b w:val="false"/>
          <w:i w:val="false"/>
          <w:color w:val="000000"/>
          <w:sz w:val="28"/>
        </w:rPr>
        <w:t xml:space="preserve">
      </w:t>
      </w:r>
      <w:r>
        <w:rPr>
          <w:rFonts w:ascii="Times New Roman"/>
          <w:b w:val="false"/>
          <w:i w:val="false"/>
          <w:color w:val="000000"/>
          <w:sz w:val="28"/>
        </w:rPr>
        <w:t>ВА - стоимость высоколиквидных активов, указанных в пункте 38 Нормативов (за вычетом обязательств по операциям РЕПО);</w:t>
      </w:r>
      <w:r>
        <w:br/>
      </w:r>
      <w:r>
        <w:rPr>
          <w:rFonts w:ascii="Times New Roman"/>
          <w:b w:val="false"/>
          <w:i w:val="false"/>
          <w:color w:val="000000"/>
          <w:sz w:val="28"/>
        </w:rPr>
        <w:t xml:space="preserve">
      </w:t>
      </w:r>
      <w:r>
        <w:rPr>
          <w:rFonts w:ascii="Times New Roman"/>
          <w:b w:val="false"/>
          <w:i w:val="false"/>
          <w:color w:val="000000"/>
          <w:sz w:val="28"/>
        </w:rPr>
        <w:t>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r>
        <w:br/>
      </w:r>
      <w:r>
        <w:rPr>
          <w:rFonts w:ascii="Times New Roman"/>
          <w:b w:val="false"/>
          <w:i w:val="false"/>
          <w:color w:val="000000"/>
          <w:sz w:val="28"/>
        </w:rPr>
        <w:t xml:space="preserve">
      </w:t>
      </w:r>
      <w:r>
        <w:rPr>
          <w:rFonts w:ascii="Times New Roman"/>
          <w:b w:val="false"/>
          <w:i w:val="false"/>
          <w:color w:val="000000"/>
          <w:sz w:val="28"/>
        </w:rPr>
        <w:t>Норматив достаточности высоколиквидных активов должен быть не менее 1 (единицы).</w:t>
      </w:r>
      <w:r>
        <w:br/>
      </w: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 В качестве высоколиквидных активов признаются следующие активы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1) деньги в кассе в сумме, не превышающей 1 (один) процент от суммы активов страховой (перестраховочной) организации за минусом активов перестрахования;</w:t>
      </w:r>
      <w:r>
        <w:br/>
      </w:r>
      <w:r>
        <w:rPr>
          <w:rFonts w:ascii="Times New Roman"/>
          <w:b w:val="false"/>
          <w:i w:val="false"/>
          <w:color w:val="000000"/>
          <w:sz w:val="28"/>
        </w:rPr>
        <w:t xml:space="preserve">
      </w:t>
      </w:r>
      <w:r>
        <w:rPr>
          <w:rFonts w:ascii="Times New Roman"/>
          <w:b w:val="false"/>
          <w:i w:val="false"/>
          <w:color w:val="000000"/>
          <w:sz w:val="28"/>
        </w:rPr>
        <w:t>2)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r>
        <w:br/>
      </w:r>
      <w:r>
        <w:rPr>
          <w:rFonts w:ascii="Times New Roman"/>
          <w:b w:val="false"/>
          <w:i w:val="false"/>
          <w:color w:val="000000"/>
          <w:sz w:val="28"/>
        </w:rPr>
        <w:t xml:space="preserve">
      </w:t>
      </w:r>
      <w:r>
        <w:rPr>
          <w:rFonts w:ascii="Times New Roman"/>
          <w:b w:val="false"/>
          <w:i w:val="false"/>
          <w:color w:val="000000"/>
          <w:sz w:val="28"/>
        </w:rPr>
        <w:t>3) деньги на текущих счетах в банках второго уровня Республики Казахстан, соответствующих требованиям подпункта 5) настоящего пункта Нормативов;</w:t>
      </w:r>
      <w:r>
        <w:br/>
      </w:r>
      <w:r>
        <w:rPr>
          <w:rFonts w:ascii="Times New Roman"/>
          <w:b w:val="false"/>
          <w:i w:val="false"/>
          <w:color w:val="000000"/>
          <w:sz w:val="28"/>
        </w:rPr>
        <w:t xml:space="preserve">
      </w:t>
      </w:r>
      <w:r>
        <w:rPr>
          <w:rFonts w:ascii="Times New Roman"/>
          <w:b w:val="false"/>
          <w:i w:val="false"/>
          <w:color w:val="000000"/>
          <w:sz w:val="28"/>
        </w:rPr>
        <w:t>4)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вклады, размещенные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8"/>
        </w:rPr>
        <w:t xml:space="preserve">
      </w:t>
      </w:r>
      <w:r>
        <w:rPr>
          <w:rFonts w:ascii="Times New Roman"/>
          <w:b w:val="false"/>
          <w:i w:val="false"/>
          <w:color w:val="000000"/>
          <w:sz w:val="28"/>
        </w:rPr>
        <w:t>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r>
        <w:br/>
      </w:r>
      <w:r>
        <w:rPr>
          <w:rFonts w:ascii="Times New Roman"/>
          <w:b w:val="false"/>
          <w:i w:val="false"/>
          <w:color w:val="000000"/>
          <w:sz w:val="28"/>
        </w:rPr>
        <w:t xml:space="preserve">
      </w:t>
      </w:r>
      <w:r>
        <w:rPr>
          <w:rFonts w:ascii="Times New Roman"/>
          <w:b w:val="false"/>
          <w:i w:val="false"/>
          <w:color w:val="000000"/>
          <w:sz w:val="28"/>
        </w:rPr>
        <w:t>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r>
        <w:br/>
      </w:r>
      <w:r>
        <w:rPr>
          <w:rFonts w:ascii="Times New Roman"/>
          <w:b w:val="false"/>
          <w:i w:val="false"/>
          <w:color w:val="000000"/>
          <w:sz w:val="28"/>
        </w:rPr>
        <w:t xml:space="preserve">
      </w:t>
      </w:r>
      <w:r>
        <w:rPr>
          <w:rFonts w:ascii="Times New Roman"/>
          <w:b w:val="false"/>
          <w:i w:val="false"/>
          <w:color w:val="000000"/>
          <w:sz w:val="28"/>
        </w:rPr>
        <w:t>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r>
        <w:br/>
      </w:r>
      <w:r>
        <w:rPr>
          <w:rFonts w:ascii="Times New Roman"/>
          <w:b w:val="false"/>
          <w:i w:val="false"/>
          <w:color w:val="000000"/>
          <w:sz w:val="28"/>
        </w:rPr>
        <w:t xml:space="preserve">
      </w:t>
      </w:r>
      <w:r>
        <w:rPr>
          <w:rFonts w:ascii="Times New Roman"/>
          <w:b w:val="false"/>
          <w:i w:val="false"/>
          <w:color w:val="000000"/>
          <w:sz w:val="28"/>
        </w:rPr>
        <w:t>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22)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23)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r>
        <w:br/>
      </w:r>
      <w:r>
        <w:rPr>
          <w:rFonts w:ascii="Times New Roman"/>
          <w:b w:val="false"/>
          <w:i w:val="false"/>
          <w:color w:val="000000"/>
          <w:sz w:val="28"/>
        </w:rPr>
        <w:t xml:space="preserve">
      </w:t>
      </w:r>
      <w:r>
        <w:rPr>
          <w:rFonts w:ascii="Times New Roman"/>
          <w:b w:val="false"/>
          <w:i w:val="false"/>
          <w:color w:val="000000"/>
          <w:sz w:val="28"/>
        </w:rPr>
        <w:t>24)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r>
        <w:br/>
      </w:r>
      <w:r>
        <w:rPr>
          <w:rFonts w:ascii="Times New Roman"/>
          <w:b w:val="false"/>
          <w:i w:val="false"/>
          <w:color w:val="000000"/>
          <w:sz w:val="28"/>
        </w:rPr>
        <w:t xml:space="preserve">
      </w:t>
      </w:r>
      <w:r>
        <w:rPr>
          <w:rFonts w:ascii="Times New Roman"/>
          <w:b w:val="false"/>
          <w:i w:val="false"/>
          <w:color w:val="000000"/>
          <w:sz w:val="28"/>
        </w:rPr>
        <w:t>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27) аффинированные драгоценные металлы и металлические счета;</w:t>
      </w:r>
      <w:r>
        <w:br/>
      </w:r>
      <w:r>
        <w:rPr>
          <w:rFonts w:ascii="Times New Roman"/>
          <w:b w:val="false"/>
          <w:i w:val="false"/>
          <w:color w:val="000000"/>
          <w:sz w:val="28"/>
        </w:rPr>
        <w:t xml:space="preserve">
      </w:t>
      </w:r>
      <w:r>
        <w:rPr>
          <w:rFonts w:ascii="Times New Roman"/>
          <w:b w:val="false"/>
          <w:i w:val="false"/>
          <w:color w:val="000000"/>
          <w:sz w:val="28"/>
        </w:rPr>
        <w:t>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r>
        <w:br/>
      </w:r>
      <w:r>
        <w:rPr>
          <w:rFonts w:ascii="Times New Roman"/>
          <w:b w:val="false"/>
          <w:i w:val="false"/>
          <w:color w:val="000000"/>
          <w:sz w:val="28"/>
        </w:rPr>
        <w:t xml:space="preserve">
      </w:t>
      </w:r>
      <w:r>
        <w:rPr>
          <w:rFonts w:ascii="Times New Roman"/>
          <w:b w:val="false"/>
          <w:i w:val="false"/>
          <w:color w:val="000000"/>
          <w:sz w:val="28"/>
        </w:rPr>
        <w:t xml:space="preserve">29)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8"/>
        </w:rPr>
        <w:t>Предпринимательскому</w:t>
      </w:r>
      <w:r>
        <w:rPr>
          <w:rFonts w:ascii="Times New Roman"/>
          <w:b w:val="false"/>
          <w:i w:val="false"/>
          <w:color w:val="000000"/>
          <w:sz w:val="28"/>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r>
        <w:br/>
      </w:r>
      <w:r>
        <w:rPr>
          <w:rFonts w:ascii="Times New Roman"/>
          <w:b w:val="false"/>
          <w:i w:val="false"/>
          <w:color w:val="000000"/>
          <w:sz w:val="28"/>
        </w:rPr>
        <w:t xml:space="preserve">
      </w:t>
      </w:r>
      <w:r>
        <w:rPr>
          <w:rFonts w:ascii="Times New Roman"/>
          <w:b w:val="false"/>
          <w:i w:val="false"/>
          <w:color w:val="000000"/>
          <w:sz w:val="28"/>
        </w:rPr>
        <w:t>Для целей Нормативов под основными фондовыми индексами понимаются следующие расчетные показатели (индексы):</w:t>
      </w:r>
      <w:r>
        <w:br/>
      </w:r>
      <w:r>
        <w:rPr>
          <w:rFonts w:ascii="Times New Roman"/>
          <w:b w:val="false"/>
          <w:i w:val="false"/>
          <w:color w:val="000000"/>
          <w:sz w:val="28"/>
        </w:rPr>
        <w:t xml:space="preserve">
      </w:t>
      </w:r>
      <w:r>
        <w:rPr>
          <w:rFonts w:ascii="Times New Roman"/>
          <w:b w:val="false"/>
          <w:i w:val="false"/>
          <w:color w:val="000000"/>
          <w:sz w:val="28"/>
        </w:rPr>
        <w:t>САС 40 (Compagnie des Agents de Change 40 Index) (Компани дэ Эжон дэ Шанж 40 Индекс);</w:t>
      </w:r>
      <w:r>
        <w:br/>
      </w:r>
      <w:r>
        <w:rPr>
          <w:rFonts w:ascii="Times New Roman"/>
          <w:b w:val="false"/>
          <w:i w:val="false"/>
          <w:color w:val="000000"/>
          <w:sz w:val="28"/>
        </w:rPr>
        <w:t xml:space="preserve">
      </w:t>
      </w:r>
      <w:r>
        <w:rPr>
          <w:rFonts w:ascii="Times New Roman"/>
          <w:b w:val="false"/>
          <w:i w:val="false"/>
          <w:color w:val="000000"/>
          <w:sz w:val="28"/>
        </w:rPr>
        <w:t>DAX (Deutscher Aktienindex) (Дойтче Акциениндекс);</w:t>
      </w:r>
      <w:r>
        <w:br/>
      </w:r>
      <w:r>
        <w:rPr>
          <w:rFonts w:ascii="Times New Roman"/>
          <w:b w:val="false"/>
          <w:i w:val="false"/>
          <w:color w:val="000000"/>
          <w:sz w:val="28"/>
        </w:rPr>
        <w:t xml:space="preserve">
      </w:t>
      </w:r>
      <w:r>
        <w:rPr>
          <w:rFonts w:ascii="Times New Roman"/>
          <w:b w:val="false"/>
          <w:i w:val="false"/>
          <w:color w:val="000000"/>
          <w:sz w:val="28"/>
        </w:rPr>
        <w:t>DJIA (Dow Jones Industrial Average) (Доу Джонс Индастриал Эвередж);</w:t>
      </w:r>
      <w:r>
        <w:br/>
      </w:r>
      <w:r>
        <w:rPr>
          <w:rFonts w:ascii="Times New Roman"/>
          <w:b w:val="false"/>
          <w:i w:val="false"/>
          <w:color w:val="000000"/>
          <w:sz w:val="28"/>
        </w:rPr>
        <w:t xml:space="preserve">
      </w:t>
      </w:r>
      <w:r>
        <w:rPr>
          <w:rFonts w:ascii="Times New Roman"/>
          <w:b w:val="false"/>
          <w:i w:val="false"/>
          <w:color w:val="000000"/>
          <w:sz w:val="28"/>
        </w:rPr>
        <w:t>EURO STOXX 50 (EURO STOXX 50 Price Index) (Юроп Эс Ти Оу Экс Экс 50 Прайс Индекс);</w:t>
      </w:r>
      <w:r>
        <w:br/>
      </w:r>
      <w:r>
        <w:rPr>
          <w:rFonts w:ascii="Times New Roman"/>
          <w:b w:val="false"/>
          <w:i w:val="false"/>
          <w:color w:val="000000"/>
          <w:sz w:val="28"/>
        </w:rPr>
        <w:t xml:space="preserve">
      </w:t>
      </w:r>
      <w:r>
        <w:rPr>
          <w:rFonts w:ascii="Times New Roman"/>
          <w:b w:val="false"/>
          <w:i w:val="false"/>
          <w:color w:val="000000"/>
          <w:sz w:val="28"/>
        </w:rPr>
        <w:t>FTSE 100 (Financial Times Stock Exchange 100 Index) (Файнэншл Таймс Сток Эксчейндж 100 Индекс);</w:t>
      </w:r>
      <w:r>
        <w:br/>
      </w:r>
      <w:r>
        <w:rPr>
          <w:rFonts w:ascii="Times New Roman"/>
          <w:b w:val="false"/>
          <w:i w:val="false"/>
          <w:color w:val="000000"/>
          <w:sz w:val="28"/>
        </w:rPr>
        <w:t xml:space="preserve">
      </w:t>
      </w:r>
      <w:r>
        <w:rPr>
          <w:rFonts w:ascii="Times New Roman"/>
          <w:b w:val="false"/>
          <w:i w:val="false"/>
          <w:color w:val="000000"/>
          <w:sz w:val="28"/>
        </w:rPr>
        <w:t>HSI (Hang Seng Index) (Ханг Сенг Индекс);</w:t>
      </w:r>
      <w:r>
        <w:br/>
      </w:r>
      <w:r>
        <w:rPr>
          <w:rFonts w:ascii="Times New Roman"/>
          <w:b w:val="false"/>
          <w:i w:val="false"/>
          <w:color w:val="000000"/>
          <w:sz w:val="28"/>
        </w:rPr>
        <w:t xml:space="preserve">
      </w:t>
      </w:r>
      <w:r>
        <w:rPr>
          <w:rFonts w:ascii="Times New Roman"/>
          <w:b w:val="false"/>
          <w:i w:val="false"/>
          <w:color w:val="000000"/>
          <w:sz w:val="28"/>
        </w:rPr>
        <w:t>KASE (Kazakhstan Stock Exchange Index) (Казакстан Сток Эксчейндж Индекс);</w:t>
      </w:r>
      <w:r>
        <w:br/>
      </w:r>
      <w:r>
        <w:rPr>
          <w:rFonts w:ascii="Times New Roman"/>
          <w:b w:val="false"/>
          <w:i w:val="false"/>
          <w:color w:val="000000"/>
          <w:sz w:val="28"/>
        </w:rPr>
        <w:t xml:space="preserve">
      </w:t>
      </w:r>
      <w:r>
        <w:rPr>
          <w:rFonts w:ascii="Times New Roman"/>
          <w:b w:val="false"/>
          <w:i w:val="false"/>
          <w:color w:val="000000"/>
          <w:sz w:val="28"/>
        </w:rPr>
        <w:t>MSCI World Index (Morgan Stanley Capital International World Index) (Морган Стэнли Кэпитал Интернешнл Ворлд Индекс);</w:t>
      </w:r>
      <w:r>
        <w:br/>
      </w:r>
      <w:r>
        <w:rPr>
          <w:rFonts w:ascii="Times New Roman"/>
          <w:b w:val="false"/>
          <w:i w:val="false"/>
          <w:color w:val="000000"/>
          <w:sz w:val="28"/>
        </w:rPr>
        <w:t xml:space="preserve">
      </w:t>
      </w:r>
      <w:r>
        <w:rPr>
          <w:rFonts w:ascii="Times New Roman"/>
          <w:b w:val="false"/>
          <w:i w:val="false"/>
          <w:color w:val="000000"/>
          <w:sz w:val="28"/>
        </w:rPr>
        <w:t>MOEX Russia (Moscow Exchange Russia Index) (Москоу Эксчейндж Раша Индекс);</w:t>
      </w:r>
      <w:r>
        <w:br/>
      </w:r>
      <w:r>
        <w:rPr>
          <w:rFonts w:ascii="Times New Roman"/>
          <w:b w:val="false"/>
          <w:i w:val="false"/>
          <w:color w:val="000000"/>
          <w:sz w:val="28"/>
        </w:rPr>
        <w:t xml:space="preserve">
      </w:t>
      </w:r>
      <w:r>
        <w:rPr>
          <w:rFonts w:ascii="Times New Roman"/>
          <w:b w:val="false"/>
          <w:i w:val="false"/>
          <w:color w:val="000000"/>
          <w:sz w:val="28"/>
        </w:rPr>
        <w:t>NIKKEI 225 (Nikkei-225 Stock Average Index) (Никкэй-225 Сток Эвередж Индекс);</w:t>
      </w:r>
      <w:r>
        <w:br/>
      </w:r>
      <w:r>
        <w:rPr>
          <w:rFonts w:ascii="Times New Roman"/>
          <w:b w:val="false"/>
          <w:i w:val="false"/>
          <w:color w:val="000000"/>
          <w:sz w:val="28"/>
        </w:rPr>
        <w:t xml:space="preserve">
      </w:t>
      </w:r>
      <w:r>
        <w:rPr>
          <w:rFonts w:ascii="Times New Roman"/>
          <w:b w:val="false"/>
          <w:i w:val="false"/>
          <w:color w:val="000000"/>
          <w:sz w:val="28"/>
        </w:rPr>
        <w:t>S&amp;P 500 (Standard and Poor's 500 Index) (Стандард энд Пурс 500 Индекс);</w:t>
      </w:r>
      <w:r>
        <w:br/>
      </w:r>
      <w:r>
        <w:rPr>
          <w:rFonts w:ascii="Times New Roman"/>
          <w:b w:val="false"/>
          <w:i w:val="false"/>
          <w:color w:val="000000"/>
          <w:sz w:val="28"/>
        </w:rPr>
        <w:t xml:space="preserve">
      </w:t>
      </w:r>
      <w:r>
        <w:rPr>
          <w:rFonts w:ascii="Times New Roman"/>
          <w:b w:val="false"/>
          <w:i w:val="false"/>
          <w:color w:val="000000"/>
          <w:sz w:val="28"/>
        </w:rPr>
        <w:t>TOPIX 100 (Tokyo Stock Price 100 Index) (Токио Сток Прайс 100 Индекс);</w:t>
      </w:r>
      <w:r>
        <w:br/>
      </w:r>
      <w:r>
        <w:rPr>
          <w:rFonts w:ascii="Times New Roman"/>
          <w:b w:val="false"/>
          <w:i w:val="false"/>
          <w:color w:val="000000"/>
          <w:sz w:val="28"/>
        </w:rPr>
        <w:t xml:space="preserve">
      </w:t>
      </w:r>
      <w:r>
        <w:rPr>
          <w:rFonts w:ascii="Times New Roman"/>
          <w:b w:val="false"/>
          <w:i w:val="false"/>
          <w:color w:val="000000"/>
          <w:sz w:val="28"/>
        </w:rPr>
        <w:t>NASDAQ-100 (Nasdaq-100 Index) (Насдак-100 Индекс).</w:t>
      </w:r>
      <w:r>
        <w:br/>
      </w:r>
      <w:r>
        <w:rPr>
          <w:rFonts w:ascii="Times New Roman"/>
          <w:b w:val="false"/>
          <w:i w:val="false"/>
          <w:color w:val="000000"/>
          <w:sz w:val="28"/>
        </w:rPr>
        <w:t xml:space="preserve">
      </w:t>
      </w:r>
      <w:r>
        <w:rPr>
          <w:rFonts w:ascii="Times New Roman"/>
          <w:b w:val="false"/>
          <w:i w:val="false"/>
          <w:color w:val="000000"/>
          <w:sz w:val="28"/>
        </w:rPr>
        <w:t>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r>
        <w:br/>
      </w: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39. Для целей Нормативов под международными финансовыми организациями понимаются следующие организации:</w:t>
      </w:r>
      <w:r>
        <w:br/>
      </w:r>
      <w:r>
        <w:rPr>
          <w:rFonts w:ascii="Times New Roman"/>
          <w:b w:val="false"/>
          <w:i w:val="false"/>
          <w:color w:val="000000"/>
          <w:sz w:val="28"/>
        </w:rPr>
        <w:t>
      Азиатский банк развития (the Asian Development Bank);</w:t>
      </w:r>
      <w:r>
        <w:br/>
      </w:r>
      <w:r>
        <w:rPr>
          <w:rFonts w:ascii="Times New Roman"/>
          <w:b w:val="false"/>
          <w:i w:val="false"/>
          <w:color w:val="000000"/>
          <w:sz w:val="28"/>
        </w:rPr>
        <w:t>
      Межамериканский банк развития (the Inter-American Development Bank);</w:t>
      </w:r>
      <w:r>
        <w:br/>
      </w:r>
      <w:r>
        <w:rPr>
          <w:rFonts w:ascii="Times New Roman"/>
          <w:b w:val="false"/>
          <w:i w:val="false"/>
          <w:color w:val="000000"/>
          <w:sz w:val="28"/>
        </w:rPr>
        <w:t>
      Африканский банк развития (the African Development Bank);</w:t>
      </w:r>
      <w:r>
        <w:br/>
      </w:r>
      <w:r>
        <w:rPr>
          <w:rFonts w:ascii="Times New Roman"/>
          <w:b w:val="false"/>
          <w:i w:val="false"/>
          <w:color w:val="000000"/>
          <w:sz w:val="28"/>
        </w:rPr>
        <w:t>
      Евразийский банк развития (Eurasian Development Bank);</w:t>
      </w:r>
      <w:r>
        <w:br/>
      </w:r>
      <w:r>
        <w:rPr>
          <w:rFonts w:ascii="Times New Roman"/>
          <w:b w:val="false"/>
          <w:i w:val="false"/>
          <w:color w:val="000000"/>
          <w:sz w:val="28"/>
        </w:rPr>
        <w:t>
      Европейский банк реконструкции и развития (the European Bank for Reconstruction and Development);</w:t>
      </w:r>
      <w:r>
        <w:br/>
      </w:r>
      <w:r>
        <w:rPr>
          <w:rFonts w:ascii="Times New Roman"/>
          <w:b w:val="false"/>
          <w:i w:val="false"/>
          <w:color w:val="000000"/>
          <w:sz w:val="28"/>
        </w:rPr>
        <w:t>
      Европейский инвестиционный банк (the European Investment Bank);</w:t>
      </w:r>
      <w:r>
        <w:br/>
      </w:r>
      <w:r>
        <w:rPr>
          <w:rFonts w:ascii="Times New Roman"/>
          <w:b w:val="false"/>
          <w:i w:val="false"/>
          <w:color w:val="000000"/>
          <w:sz w:val="28"/>
        </w:rPr>
        <w:t>
      Банк Развития Европейского Совета (the Council of Europe Development Bank);</w:t>
      </w:r>
      <w:r>
        <w:br/>
      </w:r>
      <w:r>
        <w:rPr>
          <w:rFonts w:ascii="Times New Roman"/>
          <w:b w:val="false"/>
          <w:i w:val="false"/>
          <w:color w:val="000000"/>
          <w:sz w:val="28"/>
        </w:rPr>
        <w:t>
      Исламская корпорация по развитию частного сектора (the Islamic Corporation for the Development of the Private Sector);</w:t>
      </w:r>
      <w:r>
        <w:br/>
      </w:r>
      <w:r>
        <w:rPr>
          <w:rFonts w:ascii="Times New Roman"/>
          <w:b w:val="false"/>
          <w:i w:val="false"/>
          <w:color w:val="000000"/>
          <w:sz w:val="28"/>
        </w:rPr>
        <w:t>
      Исламский банк развития (the Islamic Development Bank);</w:t>
      </w:r>
      <w:r>
        <w:br/>
      </w:r>
      <w:r>
        <w:rPr>
          <w:rFonts w:ascii="Times New Roman"/>
          <w:b w:val="false"/>
          <w:i w:val="false"/>
          <w:color w:val="000000"/>
          <w:sz w:val="28"/>
        </w:rPr>
        <w:t>
      Многостороннее агентство гарантии инвестиций (the Multilateral Investment Guarantee Agency);</w:t>
      </w:r>
      <w:r>
        <w:br/>
      </w:r>
      <w:r>
        <w:rPr>
          <w:rFonts w:ascii="Times New Roman"/>
          <w:b w:val="false"/>
          <w:i w:val="false"/>
          <w:color w:val="000000"/>
          <w:sz w:val="28"/>
        </w:rPr>
        <w:t>
      Скандинавский инвестиционный банк (the Nordic Investment Bank);</w:t>
      </w:r>
      <w:r>
        <w:br/>
      </w:r>
      <w:r>
        <w:rPr>
          <w:rFonts w:ascii="Times New Roman"/>
          <w:b w:val="false"/>
          <w:i w:val="false"/>
          <w:color w:val="000000"/>
          <w:sz w:val="28"/>
        </w:rPr>
        <w:t>
      Международный валютный фонд (the International Monetary Fund);</w:t>
      </w:r>
      <w:r>
        <w:br/>
      </w:r>
      <w:r>
        <w:rPr>
          <w:rFonts w:ascii="Times New Roman"/>
          <w:b w:val="false"/>
          <w:i w:val="false"/>
          <w:color w:val="000000"/>
          <w:sz w:val="28"/>
        </w:rPr>
        <w:t>
      Международная ассоциация развития (the International Development Association);</w:t>
      </w:r>
      <w:r>
        <w:br/>
      </w:r>
      <w:r>
        <w:rPr>
          <w:rFonts w:ascii="Times New Roman"/>
          <w:b w:val="false"/>
          <w:i w:val="false"/>
          <w:color w:val="000000"/>
          <w:sz w:val="28"/>
        </w:rPr>
        <w:t>
      Банк международных расчетов (the Bank for International Settlements);</w:t>
      </w:r>
      <w:r>
        <w:br/>
      </w: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r>
        <w:br/>
      </w:r>
      <w:r>
        <w:rPr>
          <w:rFonts w:ascii="Times New Roman"/>
          <w:b w:val="false"/>
          <w:i w:val="false"/>
          <w:color w:val="000000"/>
          <w:sz w:val="28"/>
        </w:rPr>
        <w:t>
      Международный банк реконструкции и развития (the International Bank for Reconstruction and Development);</w:t>
      </w:r>
      <w:r>
        <w:br/>
      </w:r>
      <w:r>
        <w:rPr>
          <w:rFonts w:ascii="Times New Roman"/>
          <w:b w:val="false"/>
          <w:i w:val="false"/>
          <w:color w:val="000000"/>
          <w:sz w:val="28"/>
        </w:rPr>
        <w:t>
      Международная финансовая корпорация (the International Finance Corporation).</w:t>
      </w:r>
      <w:r>
        <w:br/>
      </w: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r>
        <w:br/>
      </w:r>
      <w:r>
        <w:rPr>
          <w:rFonts w:ascii="Times New Roman"/>
          <w:b w:val="false"/>
          <w:i w:val="false"/>
          <w:color w:val="000000"/>
          <w:sz w:val="28"/>
        </w:rPr>
        <w:t xml:space="preserve">
      </w:t>
      </w:r>
      <w:r>
        <w:rPr>
          <w:rFonts w:ascii="Times New Roman"/>
          <w:b w:val="false"/>
          <w:i w:val="false"/>
          <w:color w:val="000000"/>
          <w:sz w:val="28"/>
        </w:rPr>
        <w:t>1) активы, являющиеся обеспечением по обязательствам страховой (перестраховочной) организации и (или) на которые право собственности страховой (перестраховочной) организации ограничено (за исключением операций РЕПО).</w:t>
      </w:r>
      <w:r>
        <w:br/>
      </w:r>
      <w:r>
        <w:rPr>
          <w:rFonts w:ascii="Times New Roman"/>
          <w:b w:val="false"/>
          <w:i w:val="false"/>
          <w:color w:val="000000"/>
          <w:sz w:val="28"/>
        </w:rPr>
        <w:t xml:space="preserve">
      </w:t>
      </w:r>
      <w:r>
        <w:rPr>
          <w:rFonts w:ascii="Times New Roman"/>
          <w:b w:val="false"/>
          <w:i w:val="false"/>
          <w:color w:val="000000"/>
          <w:sz w:val="28"/>
        </w:rPr>
        <w:t>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r>
        <w:br/>
      </w:r>
      <w:r>
        <w:rPr>
          <w:rFonts w:ascii="Times New Roman"/>
          <w:b w:val="false"/>
          <w:i w:val="false"/>
          <w:color w:val="000000"/>
          <w:sz w:val="28"/>
        </w:rPr>
        <w:t xml:space="preserve">
      </w:t>
      </w:r>
      <w:r>
        <w:rPr>
          <w:rFonts w:ascii="Times New Roman"/>
          <w:b w:val="false"/>
          <w:i w:val="false"/>
          <w:color w:val="000000"/>
          <w:sz w:val="28"/>
        </w:rPr>
        <w:t>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высоколиквидных активов страховой (перестраховочной) организации в объемах, указанных в Таблице высоколиквидных активов страховой (перестраховочной) организации согласно приложению 5 к Нормативам;</w:t>
      </w:r>
      <w:r>
        <w:br/>
      </w:r>
      <w:r>
        <w:rPr>
          <w:rFonts w:ascii="Times New Roman"/>
          <w:b w:val="false"/>
          <w:i w:val="false"/>
          <w:color w:val="000000"/>
          <w:sz w:val="28"/>
        </w:rPr>
        <w:t xml:space="preserve">
      </w:t>
      </w:r>
      <w:r>
        <w:rPr>
          <w:rFonts w:ascii="Times New Roman"/>
          <w:b w:val="false"/>
          <w:i w:val="false"/>
          <w:color w:val="000000"/>
          <w:sz w:val="28"/>
        </w:rPr>
        <w:t>Ценные бумаги, являющиеся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и высоколиквидных активов страховой (перестраховочной) организации в полном объеме.</w:t>
      </w:r>
      <w:r>
        <w:br/>
      </w:r>
      <w:r>
        <w:rPr>
          <w:rFonts w:ascii="Times New Roman"/>
          <w:b w:val="false"/>
          <w:i w:val="false"/>
          <w:color w:val="000000"/>
          <w:sz w:val="28"/>
        </w:rPr>
        <w:t xml:space="preserve">
      </w:t>
      </w:r>
      <w:r>
        <w:rPr>
          <w:rFonts w:ascii="Times New Roman"/>
          <w:b w:val="false"/>
          <w:i w:val="false"/>
          <w:color w:val="000000"/>
          <w:sz w:val="28"/>
        </w:rPr>
        <w:t>2) вклады и текущие счета в банках второго уровня, которые в соответствии с Законом являются крупными участниками страховой (перестраховочной) организации или страховыми холдингами, или в которых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3) ценные бумаги, выпущенные юридическими лицами, являющимися лицами, связанными со страховой (перестраховочной) организацией особыми отношениями.</w:t>
      </w:r>
      <w:r>
        <w:br/>
      </w: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41-1. Невыполнение норматива достаточности высоколиквидных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r>
        <w:br/>
      </w:r>
      <w:r>
        <w:rPr>
          <w:rFonts w:ascii="Times New Roman"/>
          <w:b w:val="false"/>
          <w:i w:val="false"/>
          <w:color w:val="000000"/>
          <w:sz w:val="28"/>
        </w:rPr>
        <w:t xml:space="preserve">
      </w:t>
      </w:r>
      <w:r>
        <w:rPr>
          <w:rFonts w:ascii="Times New Roman"/>
          <w:b w:val="false"/>
          <w:i w:val="false"/>
          <w:color w:val="000000"/>
          <w:sz w:val="28"/>
        </w:rPr>
        <w:t>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r>
        <w:br/>
      </w:r>
      <w:r>
        <w:rPr>
          <w:rFonts w:ascii="Times New Roman"/>
          <w:b w:val="false"/>
          <w:i w:val="false"/>
          <w:color w:val="000000"/>
          <w:sz w:val="28"/>
        </w:rPr>
        <w:t xml:space="preserve">
      </w:t>
      </w:r>
      <w:r>
        <w:rPr>
          <w:rFonts w:ascii="Times New Roman"/>
          <w:b w:val="false"/>
          <w:i w:val="false"/>
          <w:color w:val="000000"/>
          <w:sz w:val="28"/>
        </w:rPr>
        <w:t>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r>
        <w:br/>
      </w:r>
      <w:r>
        <w:rPr>
          <w:rFonts w:ascii="Times New Roman"/>
          <w:b w:val="false"/>
          <w:i w:val="false"/>
          <w:color w:val="000000"/>
          <w:sz w:val="28"/>
        </w:rPr>
        <w:t xml:space="preserve">
      </w:t>
      </w:r>
      <w:r>
        <w:rPr>
          <w:rFonts w:ascii="Times New Roman"/>
          <w:b w:val="false"/>
          <w:i w:val="false"/>
          <w:color w:val="000000"/>
          <w:sz w:val="28"/>
        </w:rPr>
        <w:t>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4) снижения рейтинга банка второго уровня, инвестиции в который принимаются в расчет норматива достаточности высоколиквидных активов,</w:t>
      </w:r>
      <w:r>
        <w:br/>
      </w:r>
      <w:r>
        <w:rPr>
          <w:rFonts w:ascii="Times New Roman"/>
          <w:b w:val="false"/>
          <w:i w:val="false"/>
          <w:color w:val="000000"/>
          <w:sz w:val="28"/>
        </w:rPr>
        <w:t xml:space="preserve">
      </w:t>
      </w:r>
      <w:r>
        <w:rPr>
          <w:rFonts w:ascii="Times New Roman"/>
          <w:b w:val="false"/>
          <w:i w:val="false"/>
          <w:color w:val="000000"/>
          <w:sz w:val="28"/>
        </w:rPr>
        <w:t>до уровня "В-" и ниже рейтингового агентства Standard &amp; Poor's (Стандард энд Пурс) или других рейтинговых агентств.</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41-2. Страховая (перестраховочная) организация в течение 5 (пяти) рабочих дней со дня выявления факта невыполнения норматива достаточности высоколиквидных активов в соответствии с </w:t>
      </w:r>
      <w:r>
        <w:rPr>
          <w:rFonts w:ascii="Times New Roman"/>
          <w:b w:val="false"/>
          <w:i w:val="false"/>
          <w:color w:val="000000"/>
          <w:sz w:val="28"/>
        </w:rPr>
        <w:t>пунктом 41-1</w:t>
      </w:r>
      <w:r>
        <w:rPr>
          <w:rFonts w:ascii="Times New Roman"/>
          <w:b w:val="false"/>
          <w:i w:val="false"/>
          <w:color w:val="000000"/>
          <w:sz w:val="28"/>
        </w:rPr>
        <w:t xml:space="preserve"> Нормативов направляет на согласование в уполномоченный орган план мероприятий по повышению нормативов до уровня не менее установленного минимального значения в срок до 6 (шести) месяцев со дня выявления указанного нарушения.</w:t>
      </w:r>
      <w:r>
        <w:br/>
      </w:r>
      <w:r>
        <w:rPr>
          <w:rFonts w:ascii="Times New Roman"/>
          <w:b w:val="false"/>
          <w:i w:val="false"/>
          <w:color w:val="000000"/>
          <w:sz w:val="28"/>
        </w:rPr>
        <w:t xml:space="preserve">
      </w:t>
      </w:r>
      <w:r>
        <w:rPr>
          <w:rFonts w:ascii="Times New Roman"/>
          <w:b w:val="false"/>
          <w:i w:val="false"/>
          <w:color w:val="000000"/>
          <w:sz w:val="28"/>
        </w:rPr>
        <w:t>Невыполнение норматива достаточности высоколиквидных активов в сроки, установленные планом мероприятий, является нарушением.</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41-2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0" w:id="10"/>
    <w:p>
      <w:pPr>
        <w:spacing w:after="0"/>
        <w:ind w:left="0"/>
        <w:jc w:val="left"/>
      </w:pPr>
      <w:r>
        <w:rPr>
          <w:rFonts w:ascii="Times New Roman"/>
          <w:b/>
          <w:i w:val="false"/>
          <w:color w:val="000000"/>
        </w:rPr>
        <w:t xml:space="preserve"> Глава 5. Нормативы диверсификации активов</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42. Страховая (перестраховочная) организация соблюдает следующие нормативы диверсификации активов:</w:t>
      </w:r>
      <w:r>
        <w:br/>
      </w:r>
      <w:r>
        <w:rPr>
          <w:rFonts w:ascii="Times New Roman"/>
          <w:b w:val="false"/>
          <w:i w:val="false"/>
          <w:color w:val="000000"/>
          <w:sz w:val="28"/>
        </w:rPr>
        <w:t xml:space="preserve">
      </w:t>
      </w:r>
      <w:r>
        <w:rPr>
          <w:rFonts w:ascii="Times New Roman"/>
          <w:b w:val="false"/>
          <w:i w:val="false"/>
          <w:color w:val="000000"/>
          <w:sz w:val="28"/>
        </w:rPr>
        <w:t>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30 (тридцати)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15 (пятнадцати)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 xml:space="preserve">5)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составляет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6)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7)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9)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10)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11) суммарная балансовая стоимость инвестиций в паи, соответствующие требованиям подпунктов 23) и 24) пункта 38 Нормативов,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12)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13)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14)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r>
        <w:br/>
      </w: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43. Нормативы диверсификации, указанные в пункте 42 Нормативов, не распространяются на:</w:t>
      </w:r>
      <w:r>
        <w:br/>
      </w:r>
      <w:r>
        <w:rPr>
          <w:rFonts w:ascii="Times New Roman"/>
          <w:b w:val="false"/>
          <w:i w:val="false"/>
          <w:color w:val="000000"/>
          <w:sz w:val="28"/>
        </w:rPr>
        <w:t>
      ценные бумаги Национального Банка Республики Казахстан, юридического лица, осуществляющего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Министерства финансов Республики Казахстан и национальных управляющих холдингов;</w:t>
      </w:r>
      <w:r>
        <w:br/>
      </w: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w:t>
      </w:r>
      <w:r>
        <w:br/>
      </w:r>
      <w:r>
        <w:rPr>
          <w:rFonts w:ascii="Times New Roman"/>
          <w:b w:val="false"/>
          <w:i w:val="false"/>
          <w:color w:val="000000"/>
          <w:sz w:val="28"/>
        </w:rPr>
        <w:t>
      вклады и деньги национальной компании, осуществляющей функции по поддержке экспорта, и имеющей государственную гарантию Правительства Республики Казахстан, в одном банке второго уровня, имеющем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которые направляются на синдицированное финансирование совместно с акционерным обществом "Банк Развития Казахстана".</w:t>
      </w:r>
      <w:r>
        <w:br/>
      </w:r>
      <w:r>
        <w:rPr>
          <w:rFonts w:ascii="Times New Roman"/>
          <w:b w:val="false"/>
          <w:i w:val="false"/>
          <w:color w:val="000000"/>
          <w:sz w:val="28"/>
        </w:rPr>
        <w:t>
      Для целей расчета нормативов диверсификации активов не признаются аффилированными лицами организации лица, являющиеся аффилированными только через национальный управляющий холдинг.</w:t>
      </w:r>
      <w:r>
        <w:br/>
      </w: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44. При изменении стоимости активов страховой (перестраховочной) организации за минусом активов перестрахования на отчетную дату на 20 (двадцать) и более процентов от стоимости активов страховой (перестраховочной) организации за минусом активов перестрахования на предыдущую отчетную дату, в связи с изменением курса национальной валюты,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пункта 42</w:t>
      </w:r>
      <w:r>
        <w:rPr>
          <w:rFonts w:ascii="Times New Roman"/>
          <w:b w:val="false"/>
          <w:i w:val="false"/>
          <w:color w:val="000000"/>
          <w:sz w:val="28"/>
        </w:rPr>
        <w:t xml:space="preserve"> Нормативов в течение 3 (трех) месяцев с даты превышения данных нормативов диверсификации активов.</w:t>
      </w:r>
      <w:r>
        <w:br/>
      </w:r>
      <w:r>
        <w:rPr>
          <w:rFonts w:ascii="Times New Roman"/>
          <w:b w:val="false"/>
          <w:i w:val="false"/>
          <w:color w:val="000000"/>
          <w:sz w:val="28"/>
        </w:rPr>
        <w:t>
      При снижении рейтинга банка второго уровня ниже уровня, предусмотренного подпунктами 1), 2) и 3) пункта 42 Нормативов для соответствующего норматива диверсификации, страховая (перестраховочная) организация приводит нормативы диверсификации активов в соответствие с требованиями подпунктов 1), 2) и 3) пункта 42 Нормативов в течение 1 (одного) месяца с даты превышения данных нормативов диверсификации активов.</w:t>
      </w:r>
      <w:r>
        <w:br/>
      </w:r>
      <w:r>
        <w:rPr>
          <w:rFonts w:ascii="Times New Roman"/>
          <w:b w:val="false"/>
          <w:i w:val="false"/>
          <w:color w:val="000000"/>
          <w:sz w:val="28"/>
        </w:rPr>
        <w:t>
      При возникновении аффилированности между банками второго уровня и (или) юридическими лицами, не являющимися банками второго уровня, страховая (перестраховочная) организация приводит нормативы диверсификации активов в соответствие с требованиями подпунктов 1), 2), 3) и 4) пункта 42 Нормативов в течение 1 (одного) месяца с даты превышения данных нормативов диверсификации активов.</w:t>
      </w:r>
      <w:r>
        <w:br/>
      </w:r>
      <w:r>
        <w:rPr>
          <w:rFonts w:ascii="Times New Roman"/>
          <w:b w:val="false"/>
          <w:i w:val="false"/>
          <w:color w:val="000000"/>
          <w:sz w:val="28"/>
        </w:rPr>
        <w:t xml:space="preserve">
      При поступлении возмещения от перестраховщика на текущий счет в банк второго уровня, превышающий 10 (десять)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42 Нормативов в течение 3 (трех) рабочих дней с даты превышения данных нормативов диверсификации активов.</w:t>
      </w:r>
      <w:r>
        <w:br/>
      </w:r>
      <w:r>
        <w:rPr>
          <w:rFonts w:ascii="Times New Roman"/>
          <w:b w:val="false"/>
          <w:i w:val="false"/>
          <w:color w:val="000000"/>
          <w:sz w:val="28"/>
        </w:rPr>
        <w:t>
      Превышение нормативов диверсификации активов в течение срока, установленного частями первой, второй, третьей и четвертой настоящего пункта, не считается нарушением нормативов диверсификации активов.</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44-1. Невыполнение нормативов диверсификации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r>
        <w:br/>
      </w:r>
      <w:r>
        <w:rPr>
          <w:rFonts w:ascii="Times New Roman"/>
          <w:b w:val="false"/>
          <w:i w:val="false"/>
          <w:color w:val="000000"/>
          <w:sz w:val="28"/>
        </w:rPr>
        <w:t xml:space="preserve">
      </w:t>
      </w:r>
      <w:r>
        <w:rPr>
          <w:rFonts w:ascii="Times New Roman"/>
          <w:b w:val="false"/>
          <w:i w:val="false"/>
          <w:color w:val="000000"/>
          <w:sz w:val="28"/>
        </w:rPr>
        <w:t>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r>
        <w:br/>
      </w:r>
      <w:r>
        <w:rPr>
          <w:rFonts w:ascii="Times New Roman"/>
          <w:b w:val="false"/>
          <w:i w:val="false"/>
          <w:color w:val="000000"/>
          <w:sz w:val="28"/>
        </w:rPr>
        <w:t xml:space="preserve">
      </w:t>
      </w:r>
      <w:r>
        <w:rPr>
          <w:rFonts w:ascii="Times New Roman"/>
          <w:b w:val="false"/>
          <w:i w:val="false"/>
          <w:color w:val="000000"/>
          <w:sz w:val="28"/>
        </w:rPr>
        <w:t>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r>
        <w:br/>
      </w:r>
      <w:r>
        <w:rPr>
          <w:rFonts w:ascii="Times New Roman"/>
          <w:b w:val="false"/>
          <w:i w:val="false"/>
          <w:color w:val="000000"/>
          <w:sz w:val="28"/>
        </w:rPr>
        <w:t xml:space="preserve">
      </w:t>
      </w:r>
      <w:r>
        <w:rPr>
          <w:rFonts w:ascii="Times New Roman"/>
          <w:b w:val="false"/>
          <w:i w:val="false"/>
          <w:color w:val="000000"/>
          <w:sz w:val="28"/>
        </w:rPr>
        <w:t>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4) снижения рейтинга банка второго уровня, инвестиции которого принимаются в расчет диверсификации активов до уровня "В-" и ниже рейтингового агентства Standard &amp; Poor's (Стандард энд Пурс) или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Страховая (перестраховочная) организация в течение 5 (пяти) рабочих дней со дня выявления нарушения норматива диверсификации активов, направляет на согласование в уполномоченный орган план мероприятий по приведению нормативов диверсификации в соответствие с требованиями пункта 42 Нормативов в течение 6 (шести) месяцев с даты превышения данных нормативов диверсификации активов.</w:t>
      </w:r>
      <w:r>
        <w:br/>
      </w:r>
      <w:r>
        <w:rPr>
          <w:rFonts w:ascii="Times New Roman"/>
          <w:b w:val="false"/>
          <w:i w:val="false"/>
          <w:color w:val="000000"/>
          <w:sz w:val="28"/>
        </w:rPr>
        <w:t xml:space="preserve">
      </w:t>
      </w:r>
      <w:r>
        <w:rPr>
          <w:rFonts w:ascii="Times New Roman"/>
          <w:b w:val="false"/>
          <w:i w:val="false"/>
          <w:color w:val="000000"/>
          <w:sz w:val="28"/>
        </w:rPr>
        <w:t>Невыполнение нормативов диверсификации активов страховой (перестраховочной) организацией в сроки, установленные планом мероприятий, является нарушением.</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0" w:id="11"/>
    <w:p>
      <w:pPr>
        <w:spacing w:after="0"/>
        <w:ind w:left="0"/>
        <w:jc w:val="left"/>
      </w:pPr>
      <w:r>
        <w:rPr>
          <w:rFonts w:ascii="Times New Roman"/>
          <w:b/>
          <w:i w:val="false"/>
          <w:color w:val="000000"/>
        </w:rPr>
        <w:t xml:space="preserve"> Глава 6. Иные обязательные к соблюдению нормы и лимиты для страховых (перестраховочных) организаций</w:t>
      </w:r>
    </w:p>
    <w:bookmarkEnd w:id="11"/>
    <w:bookmarkStart w:name="z311" w:id="12"/>
    <w:p>
      <w:pPr>
        <w:spacing w:after="0"/>
        <w:ind w:left="0"/>
        <w:jc w:val="left"/>
      </w:pPr>
      <w:r>
        <w:rPr>
          <w:rFonts w:ascii="Times New Roman"/>
          <w:b/>
          <w:i w:val="false"/>
          <w:color w:val="000000"/>
        </w:rPr>
        <w:t xml:space="preserve"> Параграф 1. Иные обязательные к соблюдению нормы для страховых (перестраховочных) организаций</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45. Страховые (перестраховочные) организации соблюдают следующие иные обязательные к соблюдению нормы:</w:t>
      </w:r>
      <w:r>
        <w:br/>
      </w:r>
      <w:r>
        <w:rPr>
          <w:rFonts w:ascii="Times New Roman"/>
          <w:b w:val="false"/>
          <w:i w:val="false"/>
          <w:color w:val="000000"/>
          <w:sz w:val="28"/>
        </w:rPr>
        <w:t xml:space="preserve">
      </w:t>
      </w:r>
      <w:r>
        <w:rPr>
          <w:rFonts w:ascii="Times New Roman"/>
          <w:b w:val="false"/>
          <w:i w:val="false"/>
          <w:color w:val="000000"/>
          <w:sz w:val="28"/>
        </w:rPr>
        <w:t>1) страховые (перестраховочные) организации передают страховые риски в перестрахование страховым (перестраховочным) организациям-резидентам Республики Казахстан только при соблюдении последними норматива достаточности маржи платежеспособности;</w:t>
      </w:r>
      <w:r>
        <w:br/>
      </w:r>
      <w:r>
        <w:rPr>
          <w:rFonts w:ascii="Times New Roman"/>
          <w:b w:val="false"/>
          <w:i w:val="false"/>
          <w:color w:val="000000"/>
          <w:sz w:val="28"/>
        </w:rPr>
        <w:t xml:space="preserve">
      </w:t>
      </w:r>
      <w:r>
        <w:rPr>
          <w:rFonts w:ascii="Times New Roman"/>
          <w:b w:val="false"/>
          <w:i w:val="false"/>
          <w:color w:val="000000"/>
          <w:sz w:val="28"/>
        </w:rPr>
        <w:t>2) сделки РЕПО совершаются автоматическим способом и заключаются на срок не более 30 (тридцати) календарных дней (в торговой системе фондовой биржи).</w:t>
      </w:r>
      <w:r>
        <w:br/>
      </w:r>
      <w:r>
        <w:rPr>
          <w:rFonts w:ascii="Times New Roman"/>
          <w:b w:val="false"/>
          <w:i w:val="false"/>
          <w:color w:val="000000"/>
          <w:sz w:val="28"/>
        </w:rPr>
        <w:t xml:space="preserve">
      </w:t>
      </w:r>
      <w:r>
        <w:rPr>
          <w:rFonts w:ascii="Times New Roman"/>
          <w:b w:val="false"/>
          <w:i w:val="false"/>
          <w:color w:val="000000"/>
          <w:sz w:val="28"/>
        </w:rPr>
        <w:t>3) с 1 апреля 2025 года суммарная балансовая стоимость операций "РЕПО" не превышает 50 (пятидесяти) процентов от суммы общих страховых резервов, с 1 июля 2025 года не превышает 35 (тридцати пяти) процентов от суммы общих страховых резервов.</w:t>
      </w:r>
      <w:r>
        <w:br/>
      </w: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45-1. Страхование рисков, связанных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не осуществляется.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13"/>
    <w:p>
      <w:pPr>
        <w:spacing w:after="0"/>
        <w:ind w:left="0"/>
        <w:jc w:val="left"/>
      </w:pPr>
      <w:r>
        <w:rPr>
          <w:rFonts w:ascii="Times New Roman"/>
          <w:b/>
          <w:i w:val="false"/>
          <w:color w:val="000000"/>
        </w:rPr>
        <w:t xml:space="preserve"> Параграф 2.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w:t>
      </w:r>
    </w:p>
    <w:bookmarkEnd w:id="13"/>
    <w:p>
      <w:pPr>
        <w:spacing w:after="0"/>
        <w:ind w:left="0"/>
        <w:jc w:val="left"/>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46.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рассчитывается актуарием в соответствии с политикой перестрахования, утвержденной советом директоров страховой (перестраховочной) организации.</w:t>
      </w:r>
      <w:r>
        <w:br/>
      </w:r>
      <w:r>
        <w:rPr>
          <w:rFonts w:ascii="Times New Roman"/>
          <w:b w:val="false"/>
          <w:i w:val="false"/>
          <w:color w:val="000000"/>
          <w:sz w:val="28"/>
        </w:rPr>
        <w:t>
      Максимальный размер собственного удержания страховой (перестраховочной) организации по отдельному договору страхования на дату заключения и внесения изменений в договор страхования (перестрахования) (в части объема обязательств) не превышает по договорам страхования (входящего перестрахования):</w:t>
      </w:r>
      <w:r>
        <w:br/>
      </w: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с рейтингом не ниже "ВВВ" рейтингового агентства Standard &amp; Poor's (Стандард энд Пурс) или других рейтинговых агентств, но не более 16,5 миллионов МРП (16 500 000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r>
        <w:br/>
      </w: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r>
        <w:br/>
      </w:r>
      <w:r>
        <w:rPr>
          <w:rFonts w:ascii="Times New Roman"/>
          <w:b w:val="false"/>
          <w:i w:val="false"/>
          <w:color w:val="000000"/>
          <w:sz w:val="28"/>
        </w:rPr>
        <w:t>
      80 (восемьдесят)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Нормативами, на 0,2 пункта.</w:t>
      </w:r>
      <w:r>
        <w:br/>
      </w:r>
      <w:r>
        <w:rPr>
          <w:rFonts w:ascii="Times New Roman"/>
          <w:b w:val="false"/>
          <w:i w:val="false"/>
          <w:color w:val="000000"/>
          <w:sz w:val="28"/>
        </w:rPr>
        <w:t>
      При групповом страховании, а также по договорам обязательного страхования работника от несчастных случаев при исполнении им трудовых (служебных) обязанностей, обязательного страхования туриста, расчет, указанный в части второй настоящего пункта, осуществляется по каждому застрахованному отдельно.</w:t>
      </w:r>
      <w:r>
        <w:br/>
      </w:r>
      <w:r>
        <w:rPr>
          <w:rFonts w:ascii="Times New Roman"/>
          <w:b w:val="false"/>
          <w:i w:val="false"/>
          <w:color w:val="000000"/>
          <w:sz w:val="28"/>
        </w:rPr>
        <w:t>
      При состраховании (совместном перестраховании) расчет, указанный в части второй настоящего пункта, осуществляется исходя из доли от страховой суммы каждого страховщика (перестраховщика).</w:t>
      </w:r>
      <w:r>
        <w:br/>
      </w: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0" w:id="14"/>
    <w:p>
      <w:pPr>
        <w:spacing w:after="0"/>
        <w:ind w:left="0"/>
        <w:jc w:val="left"/>
      </w:pPr>
      <w:r>
        <w:rPr>
          <w:rFonts w:ascii="Times New Roman"/>
          <w:b/>
          <w:i w:val="false"/>
          <w:color w:val="000000"/>
        </w:rPr>
        <w:t xml:space="preserve"> Глава 7. Дополнительные пруденциальные нормативы</w:t>
      </w:r>
    </w:p>
    <w:bookmarkEnd w:id="14"/>
    <w:bookmarkStart w:name="z321" w:id="15"/>
    <w:p>
      <w:pPr>
        <w:spacing w:after="0"/>
        <w:ind w:left="0"/>
        <w:jc w:val="left"/>
      </w:pPr>
      <w:r>
        <w:rPr>
          <w:rFonts w:ascii="Times New Roman"/>
          <w:b/>
          <w:i w:val="false"/>
          <w:color w:val="000000"/>
        </w:rPr>
        <w:t xml:space="preserve"> Параграф 1. Резерв непредвиденных рисков</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47. Резерв непредвиденных рисков (далее - РНР) - резерв по возможным будущим рискам для покрытия страховых выплат и расходов по урегулированию страховых убытков, формируемый при недостаточности резерва незаработанной премии (далее - РНП), рассчитываемого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48. Расчет РНР производится отдельно по каждому классу страхования. Общая величина РНР определяется путем суммирования РНР, рассчитанных по всем классам страхования.</w:t>
      </w:r>
      <w:r>
        <w:br/>
      </w:r>
      <w:r>
        <w:rPr>
          <w:rFonts w:ascii="Times New Roman"/>
          <w:b w:val="false"/>
          <w:i w:val="false"/>
          <w:color w:val="000000"/>
          <w:sz w:val="28"/>
        </w:rPr>
        <w:t>
      49. РНР рассчитывается ежемесячно в случае одновременного соблюдения следующих условий:</w:t>
      </w:r>
      <w:r>
        <w:br/>
      </w:r>
      <w:r>
        <w:rPr>
          <w:rFonts w:ascii="Times New Roman"/>
          <w:b w:val="false"/>
          <w:i w:val="false"/>
          <w:color w:val="000000"/>
          <w:sz w:val="28"/>
        </w:rPr>
        <w:t xml:space="preserve">
      </w:t>
      </w:r>
      <w:r>
        <w:rPr>
          <w:rFonts w:ascii="Times New Roman"/>
          <w:b w:val="false"/>
          <w:i w:val="false"/>
          <w:color w:val="000000"/>
          <w:sz w:val="28"/>
        </w:rPr>
        <w:t>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изменениями РНП (без учета доли перестраховщика) превышает 105 (сто пять) процентов по классу страхования;</w:t>
      </w:r>
      <w:r>
        <w:br/>
      </w:r>
      <w:r>
        <w:rPr>
          <w:rFonts w:ascii="Times New Roman"/>
          <w:b w:val="false"/>
          <w:i w:val="false"/>
          <w:color w:val="000000"/>
          <w:sz w:val="28"/>
        </w:rPr>
        <w:t xml:space="preserve">
      </w:t>
      </w:r>
      <w:r>
        <w:rPr>
          <w:rFonts w:ascii="Times New Roman"/>
          <w:b w:val="false"/>
          <w:i w:val="false"/>
          <w:color w:val="000000"/>
          <w:sz w:val="28"/>
        </w:rPr>
        <w:t>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r>
        <w:br/>
      </w:r>
      <w:r>
        <w:rPr>
          <w:rFonts w:ascii="Times New Roman"/>
          <w:b w:val="false"/>
          <w:i w:val="false"/>
          <w:color w:val="000000"/>
          <w:sz w:val="28"/>
        </w:rPr>
        <w:t xml:space="preserve">
      </w:t>
      </w:r>
      <w:r>
        <w:rPr>
          <w:rFonts w:ascii="Times New Roman"/>
          <w:b w:val="false"/>
          <w:i w:val="false"/>
          <w:color w:val="000000"/>
          <w:sz w:val="28"/>
        </w:rPr>
        <w:t>РНР рассчитывается следующим образом:</w:t>
      </w:r>
      <w:r>
        <w:br/>
      </w:r>
      <w:r>
        <w:rPr>
          <w:rFonts w:ascii="Times New Roman"/>
          <w:b w:val="false"/>
          <w:i w:val="false"/>
          <w:color w:val="000000"/>
          <w:sz w:val="28"/>
        </w:rPr>
        <w:t xml:space="preserve">
      </w:t>
      </w:r>
    </w:p>
    <w:p>
      <w:pPr>
        <w:spacing w:after="0"/>
        <w:ind w:left="0"/>
        <w:jc w:val="both"/>
      </w:pPr>
      <w:r>
        <w:drawing>
          <wp:inline distT="0" distB="0" distL="0" distR="0">
            <wp:extent cx="321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13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где:</w:t>
      </w:r>
      <w:r>
        <w:br/>
      </w:r>
      <w:r>
        <w:rPr>
          <w:rFonts w:ascii="Times New Roman"/>
          <w:b w:val="false"/>
          <w:i w:val="false"/>
          <w:color w:val="000000"/>
          <w:sz w:val="28"/>
        </w:rPr>
        <w:t xml:space="preserve">
      </w:t>
      </w:r>
      <w:r>
        <w:rPr>
          <w:rFonts w:ascii="Times New Roman"/>
          <w:b w:val="false"/>
          <w:i w:val="false"/>
          <w:color w:val="000000"/>
          <w:sz w:val="28"/>
        </w:rPr>
        <w:t>РНР - резерв непредвиденных рисков;</w:t>
      </w:r>
      <w:r>
        <w:br/>
      </w:r>
      <w:r>
        <w:rPr>
          <w:rFonts w:ascii="Times New Roman"/>
          <w:b w:val="false"/>
          <w:i w:val="false"/>
          <w:color w:val="000000"/>
          <w:sz w:val="28"/>
        </w:rPr>
        <w:t xml:space="preserve">
      </w:t>
      </w:r>
      <w:r>
        <w:rPr>
          <w:rFonts w:ascii="Times New Roman"/>
          <w:b w:val="false"/>
          <w:i w:val="false"/>
          <w:color w:val="000000"/>
          <w:sz w:val="28"/>
        </w:rPr>
        <w:t>В - чистые страховые выплаты;</w:t>
      </w:r>
      <w:r>
        <w:br/>
      </w:r>
      <w:r>
        <w:rPr>
          <w:rFonts w:ascii="Times New Roman"/>
          <w:b w:val="false"/>
          <w:i w:val="false"/>
          <w:color w:val="000000"/>
          <w:sz w:val="28"/>
        </w:rPr>
        <w:t xml:space="preserve">
      </w:t>
      </w:r>
      <w:r>
        <w:rPr>
          <w:rFonts w:ascii="Times New Roman"/>
          <w:b w:val="false"/>
          <w:i w:val="false"/>
          <w:color w:val="000000"/>
          <w:sz w:val="28"/>
        </w:rPr>
        <w:t>Р - расходы по урегулированию страховых убытков;</w:t>
      </w:r>
      <w:r>
        <w:br/>
      </w:r>
      <w:r>
        <w:rPr>
          <w:rFonts w:ascii="Times New Roman"/>
          <w:b w:val="false"/>
          <w:i w:val="false"/>
          <w:color w:val="000000"/>
          <w:sz w:val="28"/>
        </w:rPr>
        <w:t xml:space="preserve">
      </w:t>
      </w:r>
      <w:r>
        <w:rPr>
          <w:rFonts w:ascii="Times New Roman"/>
          <w:b w:val="false"/>
          <w:i w:val="false"/>
          <w:color w:val="000000"/>
          <w:sz w:val="28"/>
        </w:rPr>
        <w:t>РУ - изменение резервов убытков (без учета доли перестраховщика);</w:t>
      </w:r>
      <w:r>
        <w:br/>
      </w:r>
      <w:r>
        <w:rPr>
          <w:rFonts w:ascii="Times New Roman"/>
          <w:b w:val="false"/>
          <w:i w:val="false"/>
          <w:color w:val="000000"/>
          <w:sz w:val="28"/>
        </w:rPr>
        <w:t xml:space="preserve">
      </w:t>
      </w:r>
      <w:r>
        <w:rPr>
          <w:rFonts w:ascii="Times New Roman"/>
          <w:b w:val="false"/>
          <w:i w:val="false"/>
          <w:color w:val="000000"/>
          <w:sz w:val="28"/>
        </w:rPr>
        <w:t>ЧП – страховые премии к получению, за вычетом страховых премий, переданных на перестрахование;</w:t>
      </w:r>
      <w:r>
        <w:br/>
      </w:r>
      <w:r>
        <w:rPr>
          <w:rFonts w:ascii="Times New Roman"/>
          <w:b w:val="false"/>
          <w:i w:val="false"/>
          <w:color w:val="000000"/>
          <w:sz w:val="28"/>
        </w:rPr>
        <w:t xml:space="preserve">
      </w:t>
      </w:r>
      <w:r>
        <w:rPr>
          <w:rFonts w:ascii="Times New Roman"/>
          <w:b w:val="false"/>
          <w:i w:val="false"/>
          <w:color w:val="000000"/>
          <w:sz w:val="28"/>
        </w:rPr>
        <w:t>РНП - изменение РНП без учета доли перестраховщика;</w:t>
      </w:r>
      <w:r>
        <w:br/>
      </w:r>
      <w:r>
        <w:rPr>
          <w:rFonts w:ascii="Times New Roman"/>
          <w:b w:val="false"/>
          <w:i w:val="false"/>
          <w:color w:val="000000"/>
          <w:sz w:val="28"/>
        </w:rPr>
        <w:t xml:space="preserve">
      </w:t>
      </w:r>
      <w:r>
        <w:rPr>
          <w:rFonts w:ascii="Times New Roman"/>
          <w:b w:val="false"/>
          <w:i w:val="false"/>
          <w:color w:val="000000"/>
          <w:sz w:val="28"/>
        </w:rPr>
        <w:t>РНП - РНП без учета доли перестраховщика на дату расчета.</w:t>
      </w:r>
      <w:r>
        <w:br/>
      </w:r>
      <w:r>
        <w:rPr>
          <w:rFonts w:ascii="Times New Roman"/>
          <w:b w:val="false"/>
          <w:i w:val="false"/>
          <w:color w:val="000000"/>
          <w:sz w:val="28"/>
        </w:rPr>
        <w:t xml:space="preserve">
      </w:t>
      </w:r>
      <w:r>
        <w:rPr>
          <w:rFonts w:ascii="Times New Roman"/>
          <w:b w:val="false"/>
          <w:i w:val="false"/>
          <w:color w:val="000000"/>
          <w:sz w:val="28"/>
        </w:rPr>
        <w:t>Параметры В, Р, РУ, ЧП, РНП рассчитываются за последние 12 (двенадцать) месяцев, предшествующих отчетной дате.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49 -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16"/>
    <w:p>
      <w:pPr>
        <w:spacing w:after="0"/>
        <w:ind w:left="0"/>
        <w:jc w:val="left"/>
      </w:pPr>
      <w:r>
        <w:rPr>
          <w:rFonts w:ascii="Times New Roman"/>
          <w:b/>
          <w:i w:val="false"/>
          <w:color w:val="000000"/>
        </w:rPr>
        <w:t xml:space="preserve"> Параграф 2. Стабилизационный резерв</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50. Стабилизационный резерв является оценкой обязательств страховой (перестраховочной) организации, связанной с осуществлением будущих страховых выплат.</w:t>
      </w:r>
      <w:r>
        <w:br/>
      </w:r>
      <w:r>
        <w:rPr>
          <w:rFonts w:ascii="Times New Roman"/>
          <w:b w:val="false"/>
          <w:i w:val="false"/>
          <w:color w:val="000000"/>
          <w:sz w:val="28"/>
        </w:rPr>
        <w:t xml:space="preserve">
      </w:t>
      </w:r>
      <w:r>
        <w:rPr>
          <w:rFonts w:ascii="Times New Roman"/>
          <w:b w:val="false"/>
          <w:i w:val="false"/>
          <w:color w:val="000000"/>
          <w:sz w:val="28"/>
        </w:rPr>
        <w:t>Расчет стабилизационного резерва производится отдельно по каждому классу страхования по результатам завершенного финансового года.</w:t>
      </w:r>
      <w:r>
        <w:br/>
      </w:r>
      <w:r>
        <w:rPr>
          <w:rFonts w:ascii="Times New Roman"/>
          <w:b w:val="false"/>
          <w:i w:val="false"/>
          <w:color w:val="000000"/>
          <w:sz w:val="28"/>
        </w:rPr>
        <w:t xml:space="preserve">
      </w:t>
      </w:r>
      <w:r>
        <w:rPr>
          <w:rFonts w:ascii="Times New Roman"/>
          <w:b w:val="false"/>
          <w:i w:val="false"/>
          <w:color w:val="000000"/>
          <w:sz w:val="28"/>
        </w:rPr>
        <w:t>51. Стабилизационный резерв рассчитывается по классу страхования в случае превышения среднеквадратического отклонения коэффициента убыточности за отчетный период без учета доли перестраховщика (S</w:t>
      </w:r>
      <w:r>
        <w:rPr>
          <w:rFonts w:ascii="Times New Roman"/>
          <w:b w:val="false"/>
          <w:i w:val="false"/>
          <w:color w:val="000000"/>
          <w:vertAlign w:val="subscript"/>
        </w:rPr>
        <w:t>k</w:t>
      </w:r>
      <w:r>
        <w:rPr>
          <w:rFonts w:ascii="Times New Roman"/>
          <w:b w:val="false"/>
          <w:i w:val="false"/>
          <w:color w:val="000000"/>
          <w:sz w:val="28"/>
        </w:rPr>
        <w:t>) 10 (десяти) процентов от среднего значения коэффициента убыточности за отчетный период без учета доли перестраховщика (</w:t>
      </w:r>
    </w:p>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xml:space="preserve">
      </w:t>
      </w:r>
    </w:p>
    <w:p>
      <w:pPr>
        <w:spacing w:after="0"/>
        <w:ind w:left="0"/>
        <w:jc w:val="both"/>
      </w:pPr>
      <w:r>
        <w:drawing>
          <wp:inline distT="0" distB="0" distL="0" distR="0">
            <wp:extent cx="129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2540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3810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927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k</w:t>
      </w:r>
      <w:r>
        <w:rPr>
          <w:rFonts w:ascii="Times New Roman"/>
          <w:b w:val="false"/>
          <w:i w:val="false"/>
          <w:color w:val="000000"/>
          <w:sz w:val="28"/>
        </w:rPr>
        <w:t xml:space="preserve"> - среднеквадратическое отклонение коэффициента убыточности за отчетный период без учета доли перестраховщика;</w:t>
      </w:r>
      <w:r>
        <w:br/>
      </w:r>
      <w:r>
        <w:rPr>
          <w:rFonts w:ascii="Times New Roman"/>
          <w:b w:val="false"/>
          <w:i w:val="false"/>
          <w:color w:val="000000"/>
          <w:sz w:val="28"/>
        </w:rPr>
        <w:t xml:space="preserve">
      </w:t>
      </w:r>
      <w:r>
        <w:rPr>
          <w:rFonts w:ascii="Times New Roman"/>
          <w:b w:val="false"/>
          <w:i w:val="false"/>
          <w:color w:val="000000"/>
          <w:sz w:val="28"/>
        </w:rPr>
        <w:t>(</w:t>
      </w:r>
    </w:p>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xml:space="preserve">
      </w:t>
      </w:r>
      <w:r>
        <w:rPr>
          <w:rFonts w:ascii="Times New Roman"/>
          <w:b w:val="false"/>
          <w:i w:val="false"/>
          <w:color w:val="000000"/>
          <w:sz w:val="28"/>
        </w:rPr>
        <w:t xml:space="preserve">M - число финансовых лет; </w:t>
      </w:r>
      <w:r>
        <w:br/>
      </w:r>
      <w:r>
        <w:rPr>
          <w:rFonts w:ascii="Times New Roman"/>
          <w:b w:val="false"/>
          <w:i w:val="false"/>
          <w:color w:val="000000"/>
          <w:sz w:val="28"/>
        </w:rPr>
        <w:t xml:space="preserve">
      </w:t>
      </w:r>
      <w:r>
        <w:rPr>
          <w:rFonts w:ascii="Times New Roman"/>
          <w:b w:val="false"/>
          <w:i w:val="false"/>
          <w:color w:val="000000"/>
          <w:sz w:val="28"/>
        </w:rPr>
        <w:t>K(i) - коэффициент убыточности за отчетный период без учета доли перестраховщика за i-й финансовый год.</w:t>
      </w:r>
      <w:r>
        <w:br/>
      </w:r>
      <w:r>
        <w:rPr>
          <w:rFonts w:ascii="Times New Roman"/>
          <w:b w:val="false"/>
          <w:i w:val="false"/>
          <w:color w:val="000000"/>
          <w:sz w:val="28"/>
        </w:rPr>
        <w:t xml:space="preserve">
      </w:t>
      </w:r>
      <w:r>
        <w:rPr>
          <w:rFonts w:ascii="Times New Roman"/>
          <w:b w:val="false"/>
          <w:i w:val="false"/>
          <w:color w:val="000000"/>
          <w:sz w:val="28"/>
        </w:rPr>
        <w:t xml:space="preserve">52. Коэффициент убыточности за отчетный период без учета доли перестраховщика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зарегистрированным в Реестре государственной регистрации нормативных правовых актов под № 13056.</w:t>
      </w:r>
      <w:r>
        <w:br/>
      </w:r>
      <w:r>
        <w:rPr>
          <w:rFonts w:ascii="Times New Roman"/>
          <w:b w:val="false"/>
          <w:i w:val="false"/>
          <w:color w:val="000000"/>
          <w:sz w:val="28"/>
        </w:rPr>
        <w:t>
      Если среднее значение коэффициента убыточности за отчетный период без учета доли перестраховщика за M финансовых лет составляет менее 70 (семидесяти) процентов, стабилизационный резерв не рассчитывается.</w:t>
      </w:r>
      <w:r>
        <w:br/>
      </w:r>
      <w:r>
        <w:rPr>
          <w:rFonts w:ascii="Times New Roman"/>
          <w:b w:val="false"/>
          <w:i w:val="false"/>
          <w:color w:val="000000"/>
          <w:sz w:val="28"/>
        </w:rPr>
        <w:t>
      Среднее значение коэффициента убыточности за отчетный период без учета доли перестраховщика и среднеквадратическое отклонение коэффициента убыточности за отчетный период без учета доли перестраховщика по классу страхования определяются на основании данных за предшествующие 5 (пять) финансовых лет.</w:t>
      </w:r>
      <w:r>
        <w:br/>
      </w: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53. Стабилизационный резерв по классу страхования определяется в размере стабилизационного резерва на начало отчетного периода за минусом суммы чистых заработанных страховых премий за отчетный период, умноженной на коэффициент убыточности за отчетный период, без учета доли перестраховщика на отчетную дату, уменьшенный на среднее значение коэффициента убыточности за отчетный период без учета доли перестраховщика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Стабилизационный резерв на отчетную дату = СР1 - ЧЗП x (K -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xml:space="preserve">
      </w:t>
      </w:r>
      <w:r>
        <w:rPr>
          <w:rFonts w:ascii="Times New Roman"/>
          <w:b w:val="false"/>
          <w:i w:val="false"/>
          <w:color w:val="000000"/>
          <w:sz w:val="28"/>
        </w:rPr>
        <w:t>СР1 - стабилизационный резерв на предыдущую отчетную дату;</w:t>
      </w:r>
      <w:r>
        <w:br/>
      </w:r>
      <w:r>
        <w:rPr>
          <w:rFonts w:ascii="Times New Roman"/>
          <w:b w:val="false"/>
          <w:i w:val="false"/>
          <w:color w:val="000000"/>
          <w:sz w:val="28"/>
        </w:rPr>
        <w:t xml:space="preserve">
      </w:t>
      </w:r>
      <w:r>
        <w:rPr>
          <w:rFonts w:ascii="Times New Roman"/>
          <w:b w:val="false"/>
          <w:i w:val="false"/>
          <w:color w:val="000000"/>
          <w:sz w:val="28"/>
        </w:rPr>
        <w:t>ЧЗП – сумма чистых заработанных страховых премий за отчетный период.</w:t>
      </w:r>
      <w:r>
        <w:br/>
      </w:r>
      <w:r>
        <w:rPr>
          <w:rFonts w:ascii="Times New Roman"/>
          <w:b w:val="false"/>
          <w:i w:val="false"/>
          <w:color w:val="000000"/>
          <w:sz w:val="28"/>
        </w:rPr>
        <w:t xml:space="preserve">
      </w:t>
      </w:r>
      <w:r>
        <w:rPr>
          <w:rFonts w:ascii="Times New Roman"/>
          <w:b w:val="false"/>
          <w:i w:val="false"/>
          <w:color w:val="000000"/>
          <w:sz w:val="28"/>
        </w:rPr>
        <w:t>Сумма чистых заработанных страховых премий – сумма страховых премий без учета доли перестраховщика за отчетный период, увеличенная на величину резерва незаработанной премии без учета доли перестраховщика на начало отчетного периода и уменьшенная на величину резерва незаработанной премии без учета доли перестраховщика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K - коэффициент убыточности за отчетный период без учета доли перестраховщика на отчетную дату;</w:t>
      </w:r>
      <w:r>
        <w:br/>
      </w:r>
      <w:r>
        <w:rPr>
          <w:rFonts w:ascii="Times New Roman"/>
          <w:b w:val="false"/>
          <w:i w:val="false"/>
          <w:color w:val="000000"/>
          <w:sz w:val="28"/>
        </w:rPr>
        <w:t xml:space="preserve">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xml:space="preserve">
      </w:t>
      </w:r>
      <w:r>
        <w:rPr>
          <w:rFonts w:ascii="Times New Roman"/>
          <w:b w:val="false"/>
          <w:i w:val="false"/>
          <w:color w:val="000000"/>
          <w:sz w:val="28"/>
        </w:rPr>
        <w:t>Для расчета стабилизационного резерва отчетный период равен одному финансовому году.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53 -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54. Стабилизационный резерв по классу страхования не превышает 10 (десяти) процентов от суммы страховых резервов без учета доли перестраховщика по классу страхования на отчетную дату:</w:t>
      </w:r>
      <w:r>
        <w:br/>
      </w:r>
      <w:r>
        <w:rPr>
          <w:rFonts w:ascii="Times New Roman"/>
          <w:b w:val="false"/>
          <w:i w:val="false"/>
          <w:color w:val="000000"/>
          <w:sz w:val="28"/>
        </w:rPr>
        <w:t xml:space="preserve">
      </w:t>
      </w:r>
      <w:r>
        <w:rPr>
          <w:rFonts w:ascii="Times New Roman"/>
          <w:b w:val="false"/>
          <w:i w:val="false"/>
          <w:color w:val="000000"/>
          <w:sz w:val="28"/>
        </w:rPr>
        <w:t>Стабилизационный резерв на отчетную дату &lt;10% x ЧСР, где:</w:t>
      </w:r>
      <w:r>
        <w:br/>
      </w:r>
      <w:r>
        <w:rPr>
          <w:rFonts w:ascii="Times New Roman"/>
          <w:b w:val="false"/>
          <w:i w:val="false"/>
          <w:color w:val="000000"/>
          <w:sz w:val="28"/>
        </w:rPr>
        <w:t xml:space="preserve">
      </w:t>
      </w:r>
      <w:r>
        <w:rPr>
          <w:rFonts w:ascii="Times New Roman"/>
          <w:b w:val="false"/>
          <w:i w:val="false"/>
          <w:color w:val="000000"/>
          <w:sz w:val="28"/>
        </w:rPr>
        <w:t>ЧСР - сумма страховых резервов без учета доли перестраховщика по классу страхования на отчетную дату.</w:t>
      </w:r>
      <w:r>
        <w:br/>
      </w:r>
      <w:r>
        <w:rPr>
          <w:rFonts w:ascii="Times New Roman"/>
          <w:b w:val="false"/>
          <w:i w:val="false"/>
          <w:color w:val="000000"/>
          <w:sz w:val="28"/>
        </w:rPr>
        <w:t xml:space="preserve">
      </w:t>
      </w:r>
      <w:r>
        <w:rPr>
          <w:rFonts w:ascii="Times New Roman"/>
          <w:b w:val="false"/>
          <w:i w:val="false"/>
          <w:color w:val="000000"/>
          <w:sz w:val="28"/>
        </w:rPr>
        <w:t>55. Если страховая (перестраховочная) организация в течение 2 (двух) лет по классу страхования не заключает договоры страхования, то величина стабилизационного резерва по данному классу страхования принимается равным 0 (нулю).</w:t>
      </w:r>
      <w:r>
        <w:br/>
      </w:r>
      <w:r>
        <w:rPr>
          <w:rFonts w:ascii="Times New Roman"/>
          <w:b w:val="false"/>
          <w:i w:val="false"/>
          <w:color w:val="000000"/>
          <w:sz w:val="28"/>
        </w:rPr>
        <w:t xml:space="preserve">
      </w:t>
      </w:r>
      <w:r>
        <w:rPr>
          <w:rFonts w:ascii="Times New Roman"/>
          <w:b w:val="false"/>
          <w:i w:val="false"/>
          <w:color w:val="000000"/>
          <w:sz w:val="28"/>
        </w:rPr>
        <w:t>56.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57. Общая величина стабилизационного резерва определяется путем суммирования величин стабилизационного резерва по всем классам страхования. </w:t>
      </w:r>
      <w:r>
        <w:br/>
      </w:r>
      <w:r>
        <w:rPr>
          <w:rFonts w:ascii="Times New Roman"/>
          <w:b w:val="false"/>
          <w:i w:val="false"/>
          <w:color w:val="000000"/>
          <w:sz w:val="28"/>
        </w:rPr>
        <w:t xml:space="preserve">
      </w:t>
      </w:r>
      <w:r>
        <w:rPr>
          <w:rFonts w:ascii="Times New Roman"/>
          <w:b w:val="false"/>
          <w:i w:val="false"/>
          <w:color w:val="000000"/>
          <w:sz w:val="28"/>
        </w:rPr>
        <w:t>58. Стабилизационный резерв, сформированный в начале текущего финансового года, не изменяется до завершения текущего финансового года.</w:t>
      </w:r>
      <w:r>
        <w:br/>
      </w:r>
      <w:r>
        <w:rPr>
          <w:rFonts w:ascii="Times New Roman"/>
          <w:b w:val="false"/>
          <w:i w:val="false"/>
          <w:color w:val="000000"/>
          <w:sz w:val="28"/>
        </w:rPr>
        <w:t>
</w:t>
      </w:r>
    </w:p>
    <w:bookmarkStart w:name="z367" w:id="17"/>
    <w:p>
      <w:pPr>
        <w:spacing w:after="0"/>
        <w:ind w:left="0"/>
        <w:jc w:val="left"/>
      </w:pPr>
      <w:r>
        <w:rPr>
          <w:rFonts w:ascii="Times New Roman"/>
          <w:b/>
          <w:i w:val="false"/>
          <w:color w:val="000000"/>
        </w:rPr>
        <w:t xml:space="preserve"> Глава 8. Норматив достаточности маржи платежеспособности страховой группы</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59. Для целей расчета норматива достаточности маржи платежеспособности страховой группы под участниками страховой группы понимаются юридические лица, относящиеся к страховой группе в соответствии с </w:t>
      </w:r>
      <w:r>
        <w:rPr>
          <w:rFonts w:ascii="Times New Roman"/>
          <w:b w:val="false"/>
          <w:i w:val="false"/>
          <w:color w:val="000000"/>
          <w:sz w:val="28"/>
        </w:rPr>
        <w:t>подпунктом 23-2)</w:t>
      </w:r>
      <w:r>
        <w:rPr>
          <w:rFonts w:ascii="Times New Roman"/>
          <w:b w:val="false"/>
          <w:i w:val="false"/>
          <w:color w:val="000000"/>
          <w:sz w:val="28"/>
        </w:rPr>
        <w:t xml:space="preserve"> статьи 3 Закона.</w:t>
      </w:r>
      <w:r>
        <w:br/>
      </w:r>
      <w:r>
        <w:rPr>
          <w:rFonts w:ascii="Times New Roman"/>
          <w:b w:val="false"/>
          <w:i w:val="false"/>
          <w:color w:val="000000"/>
          <w:sz w:val="28"/>
        </w:rPr>
        <w:t xml:space="preserve">
      </w:t>
      </w:r>
      <w:r>
        <w:rPr>
          <w:rFonts w:ascii="Times New Roman"/>
          <w:b w:val="false"/>
          <w:i w:val="false"/>
          <w:color w:val="000000"/>
          <w:sz w:val="28"/>
        </w:rPr>
        <w:t>60. Для целей расчета норматива достаточности маржи платежеспособности страховой группы используется неконсолидированная финансовая отчетность участников страховой группы, составленная в соответствии со стандартами финансовой и (или) регуляторной отчетности, используемыми уполномоченным органом страны нахождения участника страховой группы в целях пруденциального регулирования.</w:t>
      </w:r>
      <w:r>
        <w:br/>
      </w:r>
      <w:r>
        <w:rPr>
          <w:rFonts w:ascii="Times New Roman"/>
          <w:b w:val="false"/>
          <w:i w:val="false"/>
          <w:color w:val="000000"/>
          <w:sz w:val="28"/>
        </w:rPr>
        <w:t xml:space="preserve">
      </w:t>
      </w:r>
      <w:r>
        <w:rPr>
          <w:rFonts w:ascii="Times New Roman"/>
          <w:b w:val="false"/>
          <w:i w:val="false"/>
          <w:color w:val="000000"/>
          <w:sz w:val="28"/>
        </w:rPr>
        <w:t>61. Норматив достаточности маржи платежеспособности страховой группы рассчитывается по формуле:</w:t>
      </w:r>
      <w:r>
        <w:br/>
      </w:r>
      <w:r>
        <w:rPr>
          <w:rFonts w:ascii="Times New Roman"/>
          <w:b w:val="false"/>
          <w:i w:val="false"/>
          <w:color w:val="000000"/>
          <w:sz w:val="28"/>
        </w:rPr>
        <w:t xml:space="preserve">
      </w:t>
      </w:r>
    </w:p>
    <w:p>
      <w:pPr>
        <w:spacing w:after="0"/>
        <w:ind w:left="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654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Нмп - норматив достаточности маржи платежеспособности страховой группы;</w:t>
      </w:r>
      <w:r>
        <w:br/>
      </w:r>
      <w:r>
        <w:rPr>
          <w:rFonts w:ascii="Times New Roman"/>
          <w:b w:val="false"/>
          <w:i w:val="false"/>
          <w:color w:val="000000"/>
          <w:sz w:val="28"/>
        </w:rPr>
        <w:t xml:space="preserve">
      </w:t>
      </w:r>
      <w:r>
        <w:rPr>
          <w:rFonts w:ascii="Times New Roman"/>
          <w:b w:val="false"/>
          <w:i w:val="false"/>
          <w:color w:val="000000"/>
          <w:sz w:val="28"/>
        </w:rPr>
        <w:t>ФМП - фактическая маржа платежеспособности страховой группы;</w:t>
      </w:r>
      <w:r>
        <w:br/>
      </w:r>
      <w:r>
        <w:rPr>
          <w:rFonts w:ascii="Times New Roman"/>
          <w:b w:val="false"/>
          <w:i w:val="false"/>
          <w:color w:val="000000"/>
          <w:sz w:val="28"/>
        </w:rPr>
        <w:t xml:space="preserve">
      </w:t>
      </w:r>
      <w:r>
        <w:rPr>
          <w:rFonts w:ascii="Times New Roman"/>
          <w:b w:val="false"/>
          <w:i w:val="false"/>
          <w:color w:val="000000"/>
          <w:sz w:val="28"/>
        </w:rPr>
        <w:t>ММП – минимальный размер маржи платежеспособности страховой группы.</w:t>
      </w:r>
      <w:r>
        <w:br/>
      </w:r>
      <w:r>
        <w:rPr>
          <w:rFonts w:ascii="Times New Roman"/>
          <w:b w:val="false"/>
          <w:i w:val="false"/>
          <w:color w:val="000000"/>
          <w:sz w:val="28"/>
        </w:rPr>
        <w:t xml:space="preserve">
      </w:t>
      </w:r>
      <w:r>
        <w:rPr>
          <w:rFonts w:ascii="Times New Roman"/>
          <w:b w:val="false"/>
          <w:i w:val="false"/>
          <w:color w:val="000000"/>
          <w:sz w:val="28"/>
        </w:rPr>
        <w:t>Норматив достаточности маржи платежеспособности страховой группы должен быть не менее 1 (единицы).</w:t>
      </w:r>
      <w:r>
        <w:br/>
      </w:r>
      <w:r>
        <w:rPr>
          <w:rFonts w:ascii="Times New Roman"/>
          <w:b w:val="false"/>
          <w:i w:val="false"/>
          <w:color w:val="000000"/>
          <w:sz w:val="28"/>
        </w:rPr>
        <w:t xml:space="preserve">
      </w:t>
      </w:r>
      <w:r>
        <w:rPr>
          <w:rFonts w:ascii="Times New Roman"/>
          <w:b w:val="false"/>
          <w:i w:val="false"/>
          <w:color w:val="000000"/>
          <w:sz w:val="28"/>
        </w:rPr>
        <w:t>62. Фактическая маржа платежеспособности страховой группы представляет собой сумму фактической маржи платежеспособности (собственного капитала) родительской организации страховой группы и фактической маржи платежеспособности (собственного капитала) других участников страховой группы.</w:t>
      </w:r>
      <w:r>
        <w:br/>
      </w:r>
      <w:r>
        <w:rPr>
          <w:rFonts w:ascii="Times New Roman"/>
          <w:b w:val="false"/>
          <w:i w:val="false"/>
          <w:color w:val="000000"/>
          <w:sz w:val="28"/>
        </w:rPr>
        <w:t xml:space="preserve">
      </w:t>
      </w:r>
      <w:r>
        <w:rPr>
          <w:rFonts w:ascii="Times New Roman"/>
          <w:b w:val="false"/>
          <w:i w:val="false"/>
          <w:color w:val="000000"/>
          <w:sz w:val="28"/>
        </w:rPr>
        <w:t xml:space="preserve">Для целей расчета фактической маржи платежеспособности страховой группы из фактической маржи платежеспособности (собственного капитала) участника страховой группы исключаются инвестиции, представляющие собой вложения в уставный капитал юридических лиц, субординированный долг юридических лиц, а также иные вложения в собственный капитал юридических лиц. </w:t>
      </w:r>
      <w:r>
        <w:br/>
      </w:r>
      <w:r>
        <w:rPr>
          <w:rFonts w:ascii="Times New Roman"/>
          <w:b w:val="false"/>
          <w:i w:val="false"/>
          <w:color w:val="000000"/>
          <w:sz w:val="28"/>
        </w:rPr>
        <w:t xml:space="preserve">
      </w:t>
      </w:r>
      <w:r>
        <w:rPr>
          <w:rFonts w:ascii="Times New Roman"/>
          <w:b w:val="false"/>
          <w:i w:val="false"/>
          <w:color w:val="000000"/>
          <w:sz w:val="28"/>
        </w:rPr>
        <w:t>63. Минимальный размер маржи платежеспособности страховой группы представляет собой сумму минимального размера маржи платежеспособности (собственного капитала) родительской организации страховой группы и минимального размера маржи платежеспособности (собственного капитала) других участников страховой группы.</w:t>
      </w:r>
      <w:r>
        <w:br/>
      </w:r>
      <w:r>
        <w:rPr>
          <w:rFonts w:ascii="Times New Roman"/>
          <w:b w:val="false"/>
          <w:i w:val="false"/>
          <w:color w:val="000000"/>
          <w:sz w:val="28"/>
        </w:rPr>
        <w:t xml:space="preserve">
      </w:t>
      </w:r>
      <w:r>
        <w:rPr>
          <w:rFonts w:ascii="Times New Roman"/>
          <w:b w:val="false"/>
          <w:i w:val="false"/>
          <w:color w:val="000000"/>
          <w:sz w:val="28"/>
        </w:rPr>
        <w:t>64. Расчет фактической маржи платежеспособности и минимального размера маржи платежеспособности (собственного капитала) участника страховой группы, являющегося финансовой организацией, но не являющегося страховой (перестраховочной) организацией, определяется в соответствии с расчетом пруденциальных нормативов данного участника страховой группы.</w:t>
      </w:r>
      <w:r>
        <w:br/>
      </w:r>
      <w:r>
        <w:rPr>
          <w:rFonts w:ascii="Times New Roman"/>
          <w:b w:val="false"/>
          <w:i w:val="false"/>
          <w:color w:val="000000"/>
          <w:sz w:val="28"/>
        </w:rPr>
        <w:t xml:space="preserve">
      </w:t>
      </w:r>
      <w:r>
        <w:rPr>
          <w:rFonts w:ascii="Times New Roman"/>
          <w:b w:val="false"/>
          <w:i w:val="false"/>
          <w:color w:val="000000"/>
          <w:sz w:val="28"/>
        </w:rPr>
        <w:t>Если для участника страховой группы, являющегося финансовой организацией, нормативными правовыми актами уполномоченного органа не установлен расчет активов и (или) условных и возможных обязательств, взвешенных по степени кредитного риска вложений, то минимальный размер маржи платежеспособности (собственного капитала) равен значению минимального размера маржи платежеспособности (собственного капитала), необходимого для выполнения норматива (коэффициента) достаточности маржи платежеспособности (собственного капитала), установленного нормативными правовыми актами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Минимальный размер маржи платежеспособности (собственного капитала) участников страховой группы, не являющихся финансовой организацией, равен сумме активов и (или) условных и возможных обязательств участника страховой группы, взвешенных по степени кредитного риска вложений, умноженной на коэффициент достаточности собственного капитала, установленный в соответствии с расчетом пруденциальных нормативов данного участника страховой группы.</w:t>
      </w:r>
      <w:r>
        <w:br/>
      </w:r>
      <w:r>
        <w:rPr>
          <w:rFonts w:ascii="Times New Roman"/>
          <w:b w:val="false"/>
          <w:i w:val="false"/>
          <w:color w:val="000000"/>
          <w:sz w:val="28"/>
        </w:rPr>
        <w:t xml:space="preserve">
      </w:t>
      </w:r>
      <w:r>
        <w:rPr>
          <w:rFonts w:ascii="Times New Roman"/>
          <w:b w:val="false"/>
          <w:i w:val="false"/>
          <w:color w:val="000000"/>
          <w:sz w:val="28"/>
        </w:rPr>
        <w:t>Если в отношении участника страховой группы расчет норматива (коэффициента) достаточности маржи платежеспособности (собственного капитала) нормативными правовыми актами уполномоченного органа не установлен, то по данному участнику:</w:t>
      </w:r>
      <w:r>
        <w:br/>
      </w:r>
      <w:r>
        <w:rPr>
          <w:rFonts w:ascii="Times New Roman"/>
          <w:b w:val="false"/>
          <w:i w:val="false"/>
          <w:color w:val="000000"/>
          <w:sz w:val="28"/>
        </w:rPr>
        <w:t xml:space="preserve">
      </w:t>
      </w:r>
      <w:r>
        <w:rPr>
          <w:rFonts w:ascii="Times New Roman"/>
          <w:b w:val="false"/>
          <w:i w:val="false"/>
          <w:color w:val="000000"/>
          <w:sz w:val="28"/>
        </w:rPr>
        <w:t>фактическая маржа платежеспособности (собственный капитал) определяется на основании отчетности, представляемой в соответствии с пунктом 2 Нормативов, как разница между активами и обязательствами;</w:t>
      </w:r>
      <w:r>
        <w:br/>
      </w:r>
      <w:r>
        <w:rPr>
          <w:rFonts w:ascii="Times New Roman"/>
          <w:b w:val="false"/>
          <w:i w:val="false"/>
          <w:color w:val="000000"/>
          <w:sz w:val="28"/>
        </w:rPr>
        <w:t xml:space="preserve">
      </w:t>
      </w:r>
      <w:r>
        <w:rPr>
          <w:rFonts w:ascii="Times New Roman"/>
          <w:b w:val="false"/>
          <w:i w:val="false"/>
          <w:color w:val="000000"/>
          <w:sz w:val="28"/>
        </w:rPr>
        <w:t>минимальный размер маржи платежеспособности (собственного капитала) рассчитывается по формуле:</w:t>
      </w:r>
      <w:r>
        <w:br/>
      </w:r>
      <w:r>
        <w:rPr>
          <w:rFonts w:ascii="Times New Roman"/>
          <w:b w:val="false"/>
          <w:i w:val="false"/>
          <w:color w:val="000000"/>
          <w:sz w:val="28"/>
        </w:rPr>
        <w:t xml:space="preserve">
      </w:t>
      </w:r>
      <w:r>
        <w:rPr>
          <w:rFonts w:ascii="Times New Roman"/>
          <w:b w:val="false"/>
          <w:i w:val="false"/>
          <w:color w:val="000000"/>
          <w:sz w:val="28"/>
        </w:rPr>
        <w:t>СК = А x 0,14, где:</w:t>
      </w:r>
      <w:r>
        <w:br/>
      </w:r>
      <w:r>
        <w:rPr>
          <w:rFonts w:ascii="Times New Roman"/>
          <w:b w:val="false"/>
          <w:i w:val="false"/>
          <w:color w:val="000000"/>
          <w:sz w:val="28"/>
        </w:rPr>
        <w:t xml:space="preserve">
      </w:t>
      </w:r>
      <w:r>
        <w:rPr>
          <w:rFonts w:ascii="Times New Roman"/>
          <w:b w:val="false"/>
          <w:i w:val="false"/>
          <w:color w:val="000000"/>
          <w:sz w:val="28"/>
        </w:rPr>
        <w:t>СК – минимальный размер маржи платежеспособности (собственного капитала) участника страховой группы;</w:t>
      </w:r>
      <w:r>
        <w:br/>
      </w:r>
      <w:r>
        <w:rPr>
          <w:rFonts w:ascii="Times New Roman"/>
          <w:b w:val="false"/>
          <w:i w:val="false"/>
          <w:color w:val="000000"/>
          <w:sz w:val="28"/>
        </w:rPr>
        <w:t xml:space="preserve">
      </w:t>
      </w:r>
      <w:r>
        <w:rPr>
          <w:rFonts w:ascii="Times New Roman"/>
          <w:b w:val="false"/>
          <w:i w:val="false"/>
          <w:color w:val="000000"/>
          <w:sz w:val="28"/>
        </w:rPr>
        <w:t xml:space="preserve">А - сумма активов, условных и возможных обязательств участника страховой группы, взвешенных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r>
        <w:br/>
      </w:r>
      <w:r>
        <w:rPr>
          <w:rFonts w:ascii="Times New Roman"/>
          <w:b w:val="false"/>
          <w:i w:val="false"/>
          <w:color w:val="000000"/>
          <w:sz w:val="28"/>
        </w:rPr>
        <w:t xml:space="preserve">
      </w:t>
      </w:r>
      <w:r>
        <w:rPr>
          <w:rFonts w:ascii="Times New Roman"/>
          <w:b w:val="false"/>
          <w:i w:val="false"/>
          <w:color w:val="000000"/>
          <w:sz w:val="28"/>
        </w:rPr>
        <w:t>Для целей взвешивания активов, условных и возможных обязательств по степени кредитного риска вложений активы, условные и возможные обязательства уменьшаются на сумму рассчитанных по ним резервов (провизий).</w:t>
      </w:r>
      <w:r>
        <w:br/>
      </w:r>
      <w:r>
        <w:rPr>
          <w:rFonts w:ascii="Times New Roman"/>
          <w:b w:val="false"/>
          <w:i w:val="false"/>
          <w:color w:val="000000"/>
          <w:sz w:val="28"/>
        </w:rPr>
        <w:t xml:space="preserve">
      </w:t>
      </w:r>
      <w:r>
        <w:rPr>
          <w:rFonts w:ascii="Times New Roman"/>
          <w:b w:val="false"/>
          <w:i w:val="false"/>
          <w:color w:val="000000"/>
          <w:sz w:val="28"/>
        </w:rPr>
        <w:t>В расчет суммы активов, условных и возможных обязательств участников страховой группы, взвешиваемых по степени кредитного риска вложений, не включаются требования участников страховой группы друг к другу.</w:t>
      </w:r>
      <w:r>
        <w:br/>
      </w: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65. Размер фактической маржи платежеспособности и минимального размера маржи платежеспособности (собственного капитала) участника страховой группы, являющегося нерезидентом Республики Казахстан, определяются нормативными правовыми актами уполномоченного органа соответствующего государства, регулирующего его деятельность в стране его нахождения.</w:t>
      </w:r>
      <w:r>
        <w:br/>
      </w:r>
      <w:r>
        <w:rPr>
          <w:rFonts w:ascii="Times New Roman"/>
          <w:b w:val="false"/>
          <w:i w:val="false"/>
          <w:color w:val="000000"/>
          <w:sz w:val="28"/>
        </w:rPr>
        <w:t xml:space="preserve">
      </w:t>
      </w:r>
      <w:r>
        <w:rPr>
          <w:rFonts w:ascii="Times New Roman"/>
          <w:b w:val="false"/>
          <w:i w:val="false"/>
          <w:color w:val="000000"/>
          <w:sz w:val="28"/>
        </w:rPr>
        <w:t xml:space="preserve">Если в отношении участника страховой группы, являющегося нерезидентом Республики Казахстан, порядок расчета размера фактической маржи платежеспособности и минимального размера маржи платежеспособности (собственного капитала) в стране его нахождения не установлен, то размер фактической маржи платежеспособности и минимального размера маржи платежеспособности (собственного капитала) определяются в соответствии с частью четвертой </w:t>
      </w:r>
      <w:r>
        <w:rPr>
          <w:rFonts w:ascii="Times New Roman"/>
          <w:b w:val="false"/>
          <w:i w:val="false"/>
          <w:color w:val="000000"/>
          <w:sz w:val="28"/>
        </w:rPr>
        <w:t>пункта 64</w:t>
      </w:r>
      <w:r>
        <w:rPr>
          <w:rFonts w:ascii="Times New Roman"/>
          <w:b w:val="false"/>
          <w:i w:val="false"/>
          <w:color w:val="000000"/>
          <w:sz w:val="28"/>
        </w:rPr>
        <w:t xml:space="preserve"> Нормативов.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 методике</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страховой (перестраховочной) организации</w:t>
            </w:r>
            <w:r>
              <w:br/>
            </w:r>
            <w:r>
              <w:rPr>
                <w:rFonts w:ascii="Times New Roman"/>
                <w:b w:val="false"/>
                <w:i w:val="false"/>
                <w:color w:val="000000"/>
                <w:sz w:val="20"/>
              </w:rPr>
              <w:t>и страховой группы и иных обязательных</w:t>
            </w:r>
            <w:r>
              <w:br/>
            </w:r>
            <w:r>
              <w:rPr>
                <w:rFonts w:ascii="Times New Roman"/>
                <w:b w:val="false"/>
                <w:i w:val="false"/>
                <w:color w:val="000000"/>
                <w:sz w:val="20"/>
              </w:rPr>
              <w:t>к соблюдению норм и лимитов</w:t>
            </w:r>
          </w:p>
        </w:tc>
      </w:tr>
    </w:tbl>
    <w:bookmarkStart w:name="z396" w:id="18"/>
    <w:p>
      <w:pPr>
        <w:spacing w:after="0"/>
        <w:ind w:left="0"/>
        <w:jc w:val="left"/>
      </w:pPr>
      <w:r>
        <w:rPr>
          <w:rFonts w:ascii="Times New Roman"/>
          <w:b/>
          <w:i w:val="false"/>
          <w:color w:val="000000"/>
        </w:rPr>
        <w:t xml:space="preserve"> Минимальный размер уставного капитала страховой (перестраховочной) организации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Виды лицензии по отраслям страхования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Минимальный размер уставного капитала (в месячных расчетных показателях)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
          <w:p>
            <w:pPr>
              <w:spacing w:after="20"/>
              <w:ind w:left="20"/>
              <w:jc w:val="both"/>
            </w:pPr>
            <w:r>
              <w:rPr>
                <w:rFonts w:ascii="Times New Roman"/>
                <w:b w:val="false"/>
                <w:i w:val="false"/>
                <w:color w:val="000000"/>
                <w:sz w:val="20"/>
              </w:rPr>
              <w:t>1</w:t>
            </w:r>
          </w:p>
          <w:bookmarkEnd w:id="19"/>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отрасли "общее страхование"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
          <w:p>
            <w:pPr>
              <w:spacing w:after="20"/>
              <w:ind w:left="20"/>
              <w:jc w:val="both"/>
            </w:pPr>
            <w:r>
              <w:rPr>
                <w:rFonts w:ascii="Times New Roman"/>
                <w:b w:val="false"/>
                <w:i w:val="false"/>
                <w:color w:val="000000"/>
                <w:sz w:val="20"/>
              </w:rPr>
              <w:t>2</w:t>
            </w:r>
          </w:p>
          <w:bookmarkEnd w:id="20"/>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отрасли "страхование жизни"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1"/>
          <w:p>
            <w:pPr>
              <w:spacing w:after="20"/>
              <w:ind w:left="20"/>
              <w:jc w:val="both"/>
            </w:pPr>
            <w:r>
              <w:rPr>
                <w:rFonts w:ascii="Times New Roman"/>
                <w:b w:val="false"/>
                <w:i w:val="false"/>
                <w:color w:val="000000"/>
                <w:sz w:val="20"/>
              </w:rPr>
              <w:t>3</w:t>
            </w:r>
          </w:p>
          <w:bookmarkEnd w:id="21"/>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отрасли "общее страхование" и по перестрахованию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
          <w:p>
            <w:pPr>
              <w:spacing w:after="20"/>
              <w:ind w:left="20"/>
              <w:jc w:val="both"/>
            </w:pPr>
            <w:r>
              <w:rPr>
                <w:rFonts w:ascii="Times New Roman"/>
                <w:b w:val="false"/>
                <w:i w:val="false"/>
                <w:color w:val="000000"/>
                <w:sz w:val="20"/>
              </w:rPr>
              <w:t>4</w:t>
            </w:r>
          </w:p>
          <w:bookmarkEnd w:id="22"/>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отрасли "страхование жизни" и по перестрахованию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3"/>
          <w:p>
            <w:pPr>
              <w:spacing w:after="20"/>
              <w:ind w:left="20"/>
              <w:jc w:val="both"/>
            </w:pPr>
            <w:r>
              <w:rPr>
                <w:rFonts w:ascii="Times New Roman"/>
                <w:b w:val="false"/>
                <w:i w:val="false"/>
                <w:color w:val="000000"/>
                <w:sz w:val="20"/>
              </w:rPr>
              <w:t>5</w:t>
            </w:r>
          </w:p>
          <w:bookmarkEnd w:id="23"/>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отрасли "общее страхование" по классу "ипотечное страхование"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4"/>
          <w:p>
            <w:pPr>
              <w:spacing w:after="20"/>
              <w:ind w:left="20"/>
              <w:jc w:val="both"/>
            </w:pPr>
            <w:r>
              <w:rPr>
                <w:rFonts w:ascii="Times New Roman"/>
                <w:b w:val="false"/>
                <w:i w:val="false"/>
                <w:color w:val="000000"/>
                <w:sz w:val="20"/>
              </w:rPr>
              <w:t>6</w:t>
            </w:r>
          </w:p>
          <w:bookmarkEnd w:id="24"/>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перестрахованию с осуществлением перестрахования как исключительного вида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 и методике</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страховой (перестраховочной) организации</w:t>
            </w:r>
            <w:r>
              <w:br/>
            </w:r>
            <w:r>
              <w:rPr>
                <w:rFonts w:ascii="Times New Roman"/>
                <w:b w:val="false"/>
                <w:i w:val="false"/>
                <w:color w:val="000000"/>
                <w:sz w:val="20"/>
              </w:rPr>
              <w:t>и страховой группы и иных обязательных</w:t>
            </w:r>
            <w:r>
              <w:br/>
            </w:r>
            <w:r>
              <w:rPr>
                <w:rFonts w:ascii="Times New Roman"/>
                <w:b w:val="false"/>
                <w:i w:val="false"/>
                <w:color w:val="000000"/>
                <w:sz w:val="20"/>
              </w:rPr>
              <w:t>к соблюдению норм и лимитов</w:t>
            </w:r>
          </w:p>
        </w:tc>
      </w:tr>
    </w:tbl>
    <w:bookmarkStart w:name="z406" w:id="25"/>
    <w:p>
      <w:pPr>
        <w:spacing w:after="0"/>
        <w:ind w:left="0"/>
        <w:jc w:val="left"/>
      </w:pPr>
      <w:r>
        <w:rPr>
          <w:rFonts w:ascii="Times New Roman"/>
          <w:b/>
          <w:i w:val="false"/>
          <w:color w:val="000000"/>
        </w:rPr>
        <w:t xml:space="preserve"> Сравнительная таблица долгосрочных рейтингов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p>
          <w:p>
            <w:pPr>
              <w:spacing w:after="20"/>
              <w:ind w:left="20"/>
              <w:jc w:val="both"/>
            </w:pPr>
          </w:p>
          <w:p>
            <w:pPr>
              <w:spacing w:after="20"/>
              <w:ind w:left="20"/>
              <w:jc w:val="both"/>
            </w:pP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Standard &amp; </w:t>
            </w:r>
            <w:r>
              <w:rPr>
                <w:rFonts w:ascii="Times New Roman"/>
                <w:b/>
                <w:i w:val="false"/>
                <w:color w:val="000000"/>
                <w:sz w:val="20"/>
              </w:rPr>
              <w:t>Poor's</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Moody's</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Investors</w:t>
            </w:r>
          </w:p>
          <w:p>
            <w:pPr>
              <w:spacing w:after="20"/>
              <w:ind w:left="20"/>
              <w:jc w:val="both"/>
            </w:pPr>
            <w:r>
              <w:rPr>
                <w:rFonts w:ascii="Times New Roman"/>
                <w:b w:val="false"/>
                <w:i w:val="false"/>
                <w:color w:val="000000"/>
                <w:sz w:val="20"/>
              </w:rPr>
              <w:t>
</w:t>
            </w:r>
            <w:r>
              <w:rPr>
                <w:rFonts w:ascii="Times New Roman"/>
                <w:b/>
                <w:i w:val="false"/>
                <w:color w:val="000000"/>
                <w:sz w:val="20"/>
              </w:rPr>
              <w:t>Service</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Fitch</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A.M. Best</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
          <w:p>
            <w:pPr>
              <w:spacing w:after="20"/>
              <w:ind w:left="20"/>
              <w:jc w:val="both"/>
            </w:pPr>
            <w:r>
              <w:rPr>
                <w:rFonts w:ascii="Times New Roman"/>
                <w:b w:val="false"/>
                <w:i w:val="false"/>
                <w:color w:val="000000"/>
                <w:sz w:val="20"/>
              </w:rPr>
              <w:t>1</w:t>
            </w:r>
          </w:p>
          <w:bookmarkEnd w:id="26"/>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
          <w:p>
            <w:pPr>
              <w:spacing w:after="20"/>
              <w:ind w:left="20"/>
              <w:jc w:val="both"/>
            </w:pPr>
            <w:r>
              <w:rPr>
                <w:rFonts w:ascii="Times New Roman"/>
                <w:b w:val="false"/>
                <w:i w:val="false"/>
                <w:color w:val="000000"/>
                <w:sz w:val="20"/>
              </w:rPr>
              <w:t>2</w:t>
            </w:r>
          </w:p>
          <w:bookmarkEnd w:id="27"/>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
          <w:p>
            <w:pPr>
              <w:spacing w:after="20"/>
              <w:ind w:left="20"/>
              <w:jc w:val="both"/>
            </w:pPr>
            <w:r>
              <w:rPr>
                <w:rFonts w:ascii="Times New Roman"/>
                <w:b w:val="false"/>
                <w:i w:val="false"/>
                <w:color w:val="000000"/>
                <w:sz w:val="20"/>
              </w:rPr>
              <w:t>3</w:t>
            </w:r>
          </w:p>
          <w:bookmarkEnd w:id="28"/>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
          <w:p>
            <w:pPr>
              <w:spacing w:after="20"/>
              <w:ind w:left="20"/>
              <w:jc w:val="both"/>
            </w:pPr>
            <w:r>
              <w:rPr>
                <w:rFonts w:ascii="Times New Roman"/>
                <w:b w:val="false"/>
                <w:i w:val="false"/>
                <w:color w:val="000000"/>
                <w:sz w:val="20"/>
              </w:rPr>
              <w:t>4</w:t>
            </w:r>
          </w:p>
          <w:bookmarkEnd w:id="29"/>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0"/>
          <w:p>
            <w:pPr>
              <w:spacing w:after="20"/>
              <w:ind w:left="20"/>
              <w:jc w:val="both"/>
            </w:pPr>
            <w:r>
              <w:rPr>
                <w:rFonts w:ascii="Times New Roman"/>
                <w:b w:val="false"/>
                <w:i w:val="false"/>
                <w:color w:val="000000"/>
                <w:sz w:val="20"/>
              </w:rPr>
              <w:t>5</w:t>
            </w:r>
          </w:p>
          <w:bookmarkEnd w:id="30"/>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
          <w:p>
            <w:pPr>
              <w:spacing w:after="20"/>
              <w:ind w:left="20"/>
              <w:jc w:val="both"/>
            </w:pPr>
            <w:r>
              <w:rPr>
                <w:rFonts w:ascii="Times New Roman"/>
                <w:b w:val="false"/>
                <w:i w:val="false"/>
                <w:color w:val="000000"/>
                <w:sz w:val="20"/>
              </w:rPr>
              <w:t>6</w:t>
            </w:r>
          </w:p>
          <w:bookmarkEnd w:id="31"/>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
          <w:p>
            <w:pPr>
              <w:spacing w:after="20"/>
              <w:ind w:left="20"/>
              <w:jc w:val="both"/>
            </w:pPr>
            <w:r>
              <w:rPr>
                <w:rFonts w:ascii="Times New Roman"/>
                <w:b w:val="false"/>
                <w:i w:val="false"/>
                <w:color w:val="000000"/>
                <w:sz w:val="20"/>
              </w:rPr>
              <w:t>7</w:t>
            </w:r>
          </w:p>
          <w:bookmarkEnd w:id="32"/>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
          <w:p>
            <w:pPr>
              <w:spacing w:after="20"/>
              <w:ind w:left="20"/>
              <w:jc w:val="both"/>
            </w:pPr>
            <w:r>
              <w:rPr>
                <w:rFonts w:ascii="Times New Roman"/>
                <w:b w:val="false"/>
                <w:i w:val="false"/>
                <w:color w:val="000000"/>
                <w:sz w:val="20"/>
              </w:rPr>
              <w:t>8</w:t>
            </w:r>
          </w:p>
          <w:bookmarkEnd w:id="33"/>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Baa1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
          <w:p>
            <w:pPr>
              <w:spacing w:after="20"/>
              <w:ind w:left="20"/>
              <w:jc w:val="both"/>
            </w:pPr>
            <w:r>
              <w:rPr>
                <w:rFonts w:ascii="Times New Roman"/>
                <w:b w:val="false"/>
                <w:i w:val="false"/>
                <w:color w:val="000000"/>
                <w:sz w:val="20"/>
              </w:rPr>
              <w:t>9</w:t>
            </w:r>
          </w:p>
          <w:bookmarkEnd w:id="34"/>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Ваа2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
          <w:p>
            <w:pPr>
              <w:spacing w:after="20"/>
              <w:ind w:left="20"/>
              <w:jc w:val="both"/>
            </w:pPr>
            <w:r>
              <w:rPr>
                <w:rFonts w:ascii="Times New Roman"/>
                <w:b w:val="false"/>
                <w:i w:val="false"/>
                <w:color w:val="000000"/>
                <w:sz w:val="20"/>
              </w:rPr>
              <w:t>10</w:t>
            </w:r>
          </w:p>
          <w:bookmarkEnd w:id="35"/>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Ваа3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
          <w:p>
            <w:pPr>
              <w:spacing w:after="20"/>
              <w:ind w:left="20"/>
              <w:jc w:val="both"/>
            </w:pPr>
            <w:r>
              <w:rPr>
                <w:rFonts w:ascii="Times New Roman"/>
                <w:b w:val="false"/>
                <w:i w:val="false"/>
                <w:color w:val="000000"/>
                <w:sz w:val="20"/>
              </w:rPr>
              <w:t>11</w:t>
            </w:r>
          </w:p>
          <w:bookmarkEnd w:id="36"/>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
          <w:p>
            <w:pPr>
              <w:spacing w:after="20"/>
              <w:ind w:left="20"/>
              <w:jc w:val="both"/>
            </w:pPr>
            <w:r>
              <w:rPr>
                <w:rFonts w:ascii="Times New Roman"/>
                <w:b w:val="false"/>
                <w:i w:val="false"/>
                <w:color w:val="000000"/>
                <w:sz w:val="20"/>
              </w:rPr>
              <w:t>12</w:t>
            </w:r>
          </w:p>
          <w:bookmarkEnd w:id="37"/>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
          <w:p>
            <w:pPr>
              <w:spacing w:after="20"/>
              <w:ind w:left="20"/>
              <w:jc w:val="both"/>
            </w:pPr>
            <w:r>
              <w:rPr>
                <w:rFonts w:ascii="Times New Roman"/>
                <w:b w:val="false"/>
                <w:i w:val="false"/>
                <w:color w:val="000000"/>
                <w:sz w:val="20"/>
              </w:rPr>
              <w:t>13</w:t>
            </w:r>
          </w:p>
          <w:bookmarkEnd w:id="38"/>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
          <w:p>
            <w:pPr>
              <w:spacing w:after="20"/>
              <w:ind w:left="20"/>
              <w:jc w:val="both"/>
            </w:pPr>
            <w:r>
              <w:rPr>
                <w:rFonts w:ascii="Times New Roman"/>
                <w:b w:val="false"/>
                <w:i w:val="false"/>
                <w:color w:val="000000"/>
                <w:sz w:val="20"/>
              </w:rPr>
              <w:t>14</w:t>
            </w:r>
          </w:p>
          <w:bookmarkEnd w:id="39"/>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
          <w:p>
            <w:pPr>
              <w:spacing w:after="20"/>
              <w:ind w:left="20"/>
              <w:jc w:val="both"/>
            </w:pPr>
            <w:r>
              <w:rPr>
                <w:rFonts w:ascii="Times New Roman"/>
                <w:b w:val="false"/>
                <w:i w:val="false"/>
                <w:color w:val="000000"/>
                <w:sz w:val="20"/>
              </w:rPr>
              <w:t>15</w:t>
            </w:r>
          </w:p>
          <w:bookmarkEnd w:id="40"/>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59" w:id="41"/>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страховых премий, передаваемых (переданных) в перестрахование</w:t>
      </w:r>
    </w:p>
    <w:bookmarkEnd w:id="41"/>
    <w:p>
      <w:pPr>
        <w:spacing w:after="0"/>
        <w:ind w:left="0"/>
        <w:jc w:val="left"/>
      </w:pPr>
      <w:r>
        <w:rPr>
          <w:rFonts w:ascii="Times New Roman"/>
          <w:b w:val="false"/>
          <w:i w:val="false"/>
          <w:color w:val="ff0000"/>
          <w:sz w:val="28"/>
        </w:rPr>
        <w:t xml:space="preserve">      Сноска. Нормативные значения дополнены приложением 3 в соответствии с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перестраховочной организации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Рейтинговая оценка перестраховщика по международной или национальной шкале (норматив достаточности маржи платежеспособности)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страховых премий, передаваемых (переданных) в перестрахование по действующим договорам перестрахования, всего (в тысячах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от суммы страховых премий, передаваемых (переданных) в перестрахование по действующим договорам перестрахования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увеличения минимального размера маржи платежеспособности (в тысячах тенге) (графа 3 х графа 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ратификации Договора о Евразийском экономическом союзе" (далее - Договор о ЕАЭС)</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"АА-" или выше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 по "А-"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"ВВВ+" по "ВВВ-"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 по "ВВ-"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 по "В-"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ниже "В" или "kzBB"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"kzBB-", "kzB+"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&lt;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с перестраховщиками-стран-участниц Договора о ЕАЭС</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"ВВВ+" по "ВВВ-"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 по "ВВ-"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 по "В-"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"ВВВ+" по "ВВВ-"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 по "ВВ-"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 по "В-"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с перестраховщиками-участниками Международного финансового центра "Астана"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ниже "В" или "kzBB"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"kzBB-", "kzB+"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"kzBB-", "kzB+"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955" w:id="42"/>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объема обязательств, передаваемых (переданных) в перестрахование</w:t>
      </w:r>
    </w:p>
    <w:bookmarkEnd w:id="42"/>
    <w:p>
      <w:pPr>
        <w:spacing w:after="0"/>
        <w:ind w:left="0"/>
        <w:jc w:val="left"/>
      </w:pPr>
      <w:r>
        <w:rPr>
          <w:rFonts w:ascii="Times New Roman"/>
          <w:b w:val="false"/>
          <w:i w:val="false"/>
          <w:color w:val="ff0000"/>
          <w:sz w:val="28"/>
        </w:rPr>
        <w:t xml:space="preserve">      Сноска. Приложение 3-1 исключено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61" w:id="43"/>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43"/>
    <w:p>
      <w:pPr>
        <w:spacing w:after="0"/>
        <w:ind w:left="0"/>
        <w:jc w:val="left"/>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Учитываемый объем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кассе в сумме, не превышающей 1 (один) процент от суммы активов страховой (перестраховочной) организации за минусом активов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пути, в банках второго уровня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строках 2.1 и 2.2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строке 2.3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ценные бумаги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являющиеся предметом операции "обратного РЕПО", заключенной с участием центрального контрагента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активы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и металлические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63" w:id="44"/>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44"/>
    <w:p>
      <w:pPr>
        <w:spacing w:after="0"/>
        <w:ind w:left="0"/>
        <w:jc w:val="left"/>
      </w:pPr>
      <w:r>
        <w:rPr>
          <w:rFonts w:ascii="Times New Roman"/>
          <w:b w:val="false"/>
          <w:i w:val="false"/>
          <w:color w:val="ff0000"/>
          <w:sz w:val="28"/>
        </w:rPr>
        <w:t xml:space="preserve">      Сноска. Нормативные значения дополнены приложением 5 в соответствии с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Учитываемый объем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кассе в сумме, не превышавшей 1 (один) процент от суммы активов страховой (перестраховочной) организации за минусом активов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строках 2.1 и 2.2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строке 2.3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вклады в банках второго уровня Республики Казахстан, соответствующих одному из следующих требований: </w:t>
            </w:r>
          </w:p>
          <w:p>
            <w:pPr>
              <w:spacing w:after="20"/>
              <w:ind w:left="20"/>
              <w:jc w:val="both"/>
            </w:pPr>
          </w:p>
          <w:p>
            <w:pPr>
              <w:spacing w:after="20"/>
              <w:ind w:left="20"/>
              <w:jc w:val="both"/>
            </w:pPr>
            <w:r>
              <w:rPr>
                <w:rFonts w:ascii="Times New Roman"/>
                <w:b w:val="false"/>
                <w:i w:val="false"/>
                <w:color w:val="000000"/>
                <w:sz w:val="20"/>
              </w:rPr>
              <w:t xml:space="preserve">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ценные бумаги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являющиеся предметом операции "обратного РЕПО", заключенной с участием центрального контрагента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активы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и металлические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425" w:id="45"/>
    <w:p>
      <w:pPr>
        <w:spacing w:after="0"/>
        <w:ind w:left="0"/>
        <w:jc w:val="left"/>
      </w:pPr>
      <w:r>
        <w:rPr>
          <w:rFonts w:ascii="Times New Roman"/>
          <w:b/>
          <w:i w:val="false"/>
          <w:color w:val="000000"/>
        </w:rPr>
        <w:t xml:space="preserve"> Перечень, формы, сроки представления отчетности о выполнении пруденциальных нормативов страховыми (перестраховочными) организациями и страховыми группами</w:t>
      </w:r>
    </w:p>
    <w:bookmarkEnd w:id="45"/>
    <w:p>
      <w:pPr>
        <w:spacing w:after="0"/>
        <w:ind w:left="0"/>
        <w:jc w:val="left"/>
      </w:pPr>
      <w:r>
        <w:rPr>
          <w:rFonts w:ascii="Times New Roman"/>
          <w:b w:val="false"/>
          <w:i w:val="false"/>
          <w:color w:val="ff0000"/>
          <w:sz w:val="28"/>
        </w:rPr>
        <w:t xml:space="preserve">      Сноска. Приложение 2 исключено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184" w:id="46"/>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отчетности о выполнении пруденциальных нормативов страховыми (перестраховочными) организациями и страховыми группами</w:t>
      </w:r>
    </w:p>
    <w:bookmarkEnd w:id="46"/>
    <w:p>
      <w:pPr>
        <w:spacing w:after="0"/>
        <w:ind w:left="0"/>
        <w:jc w:val="left"/>
      </w:pPr>
      <w:r>
        <w:rPr>
          <w:rFonts w:ascii="Times New Roman"/>
          <w:b w:val="false"/>
          <w:i w:val="false"/>
          <w:color w:val="ff0000"/>
          <w:sz w:val="28"/>
        </w:rPr>
        <w:t xml:space="preserve">      Сноска. Приложение 3 исключено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00" w:id="47"/>
    <w:p>
      <w:pPr>
        <w:spacing w:after="0"/>
        <w:ind w:left="0"/>
        <w:jc w:val="left"/>
      </w:pPr>
      <w:r>
        <w:rPr>
          <w:rFonts w:ascii="Times New Roman"/>
          <w:b/>
          <w:i w:val="false"/>
          <w:color w:val="000000"/>
        </w:rPr>
        <w:t xml:space="preserve"> Требования</w:t>
      </w:r>
      <w:r>
        <w:br/>
      </w:r>
      <w:r>
        <w:rPr>
          <w:rFonts w:ascii="Times New Roman"/>
          <w:b/>
          <w:i w:val="false"/>
          <w:color w:val="000000"/>
        </w:rPr>
        <w:t>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Требования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Страховые (перестраховочные) организации, дочерние организации страховых (перестраховочных) организаций или страховых холдингов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r>
        <w:br/>
      </w:r>
      <w:r>
        <w:rPr>
          <w:rFonts w:ascii="Times New Roman"/>
          <w:b w:val="false"/>
          <w:i w:val="false"/>
          <w:color w:val="000000"/>
          <w:sz w:val="28"/>
        </w:rPr>
        <w:t xml:space="preserve">
      </w:t>
      </w:r>
      <w:r>
        <w:rPr>
          <w:rFonts w:ascii="Times New Roman"/>
          <w:b w:val="false"/>
          <w:i w:val="false"/>
          <w:color w:val="000000"/>
          <w:sz w:val="28"/>
        </w:rPr>
        <w:t>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3) акции юридических лиц – 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5) акции акционерного общества "Фонд гарантирования страховых выплат.</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 с изменением, внесенным постановлением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08" w:id="48"/>
    <w:p>
      <w:pPr>
        <w:spacing w:after="0"/>
        <w:ind w:left="0"/>
        <w:jc w:val="left"/>
      </w:pPr>
      <w:r>
        <w:rPr>
          <w:rFonts w:ascii="Times New Roman"/>
          <w:b/>
          <w:i w:val="false"/>
          <w:color w:val="000000"/>
        </w:rPr>
        <w:t xml:space="preserve"> Перечень облигаций международных финансовых организаций, приобретаемых страховыми холдингами</w:t>
      </w:r>
    </w:p>
    <w:bookmarkEnd w:id="48"/>
    <w:p>
      <w:pPr>
        <w:spacing w:after="0"/>
        <w:ind w:left="0"/>
        <w:jc w:val="left"/>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В соответствии с подпунктом 1) пункта 4 статьи 48 Закона Республики Казахстан "О страховой деятельности" страховым холдингам разрешается приобретать облигации, выпущенные следующими международными финансовыми организациями:</w:t>
      </w:r>
      <w:r>
        <w:br/>
      </w:r>
      <w:r>
        <w:rPr>
          <w:rFonts w:ascii="Times New Roman"/>
          <w:b w:val="false"/>
          <w:i w:val="false"/>
          <w:color w:val="000000"/>
          <w:sz w:val="28"/>
        </w:rPr>
        <w:t xml:space="preserve">
      </w:t>
      </w:r>
      <w:r>
        <w:rPr>
          <w:rFonts w:ascii="Times New Roman"/>
          <w:b w:val="false"/>
          <w:i w:val="false"/>
          <w:color w:val="000000"/>
          <w:sz w:val="28"/>
        </w:rPr>
        <w:t>Азиатский банк развития (Asian Development Bank);</w:t>
      </w:r>
      <w:r>
        <w:br/>
      </w:r>
      <w:r>
        <w:rPr>
          <w:rFonts w:ascii="Times New Roman"/>
          <w:b w:val="false"/>
          <w:i w:val="false"/>
          <w:color w:val="000000"/>
          <w:sz w:val="28"/>
        </w:rPr>
        <w:t xml:space="preserve">
      </w:t>
      </w:r>
      <w:r>
        <w:rPr>
          <w:rFonts w:ascii="Times New Roman"/>
          <w:b w:val="false"/>
          <w:i w:val="false"/>
          <w:color w:val="000000"/>
          <w:sz w:val="28"/>
        </w:rPr>
        <w:t>Азиатский банк инфраструктурных инвестиций (the Asian Infrastructure Investment Bank);</w:t>
      </w:r>
      <w:r>
        <w:br/>
      </w:r>
      <w:r>
        <w:rPr>
          <w:rFonts w:ascii="Times New Roman"/>
          <w:b w:val="false"/>
          <w:i w:val="false"/>
          <w:color w:val="000000"/>
          <w:sz w:val="28"/>
        </w:rPr>
        <w:t xml:space="preserve">
      </w:t>
      </w:r>
      <w:r>
        <w:rPr>
          <w:rFonts w:ascii="Times New Roman"/>
          <w:b w:val="false"/>
          <w:i w:val="false"/>
          <w:color w:val="000000"/>
          <w:sz w:val="28"/>
        </w:rPr>
        <w:t>Межамериканский банк развития (Inter-American Development Bank);</w:t>
      </w:r>
      <w:r>
        <w:br/>
      </w:r>
      <w:r>
        <w:rPr>
          <w:rFonts w:ascii="Times New Roman"/>
          <w:b w:val="false"/>
          <w:i w:val="false"/>
          <w:color w:val="000000"/>
          <w:sz w:val="28"/>
        </w:rPr>
        <w:t xml:space="preserve">
      </w:t>
      </w:r>
      <w:r>
        <w:rPr>
          <w:rFonts w:ascii="Times New Roman"/>
          <w:b w:val="false"/>
          <w:i w:val="false"/>
          <w:color w:val="000000"/>
          <w:sz w:val="28"/>
        </w:rPr>
        <w:t>Африканский банк развития (African Development Bank);</w:t>
      </w:r>
      <w:r>
        <w:br/>
      </w:r>
      <w:r>
        <w:rPr>
          <w:rFonts w:ascii="Times New Roman"/>
          <w:b w:val="false"/>
          <w:i w:val="false"/>
          <w:color w:val="000000"/>
          <w:sz w:val="28"/>
        </w:rPr>
        <w:t xml:space="preserve">
      </w:t>
      </w:r>
      <w:r>
        <w:rPr>
          <w:rFonts w:ascii="Times New Roman"/>
          <w:b w:val="false"/>
          <w:i w:val="false"/>
          <w:color w:val="000000"/>
          <w:sz w:val="28"/>
        </w:rPr>
        <w:t>Евразийский банк развития (Eurasian Development Bank);</w:t>
      </w:r>
      <w:r>
        <w:br/>
      </w:r>
      <w:r>
        <w:rPr>
          <w:rFonts w:ascii="Times New Roman"/>
          <w:b w:val="false"/>
          <w:i w:val="false"/>
          <w:color w:val="000000"/>
          <w:sz w:val="28"/>
        </w:rPr>
        <w:t xml:space="preserve">
      </w:t>
      </w:r>
      <w:r>
        <w:rPr>
          <w:rFonts w:ascii="Times New Roman"/>
          <w:b w:val="false"/>
          <w:i w:val="false"/>
          <w:color w:val="000000"/>
          <w:sz w:val="28"/>
        </w:rPr>
        <w:t>Европейский инвестиционный банк (European Investment Bank);</w:t>
      </w:r>
      <w:r>
        <w:br/>
      </w:r>
      <w:r>
        <w:rPr>
          <w:rFonts w:ascii="Times New Roman"/>
          <w:b w:val="false"/>
          <w:i w:val="false"/>
          <w:color w:val="000000"/>
          <w:sz w:val="28"/>
        </w:rPr>
        <w:t xml:space="preserve">
      </w:t>
      </w:r>
      <w:r>
        <w:rPr>
          <w:rFonts w:ascii="Times New Roman"/>
          <w:b w:val="false"/>
          <w:i w:val="false"/>
          <w:color w:val="000000"/>
          <w:sz w:val="28"/>
        </w:rPr>
        <w:t>Европейский банк реконструкции и развития (European Bank for Reconstruction and Development);</w:t>
      </w:r>
      <w:r>
        <w:br/>
      </w:r>
      <w:r>
        <w:rPr>
          <w:rFonts w:ascii="Times New Roman"/>
          <w:b w:val="false"/>
          <w:i w:val="false"/>
          <w:color w:val="000000"/>
          <w:sz w:val="28"/>
        </w:rPr>
        <w:t xml:space="preserve">
      </w:t>
      </w:r>
      <w:r>
        <w:rPr>
          <w:rFonts w:ascii="Times New Roman"/>
          <w:b w:val="false"/>
          <w:i w:val="false"/>
          <w:color w:val="000000"/>
          <w:sz w:val="28"/>
        </w:rPr>
        <w:t>Исламская корпорация по развитию частного сектора (the Islamic Corporation for the Development of the Private Sector);</w:t>
      </w:r>
      <w:r>
        <w:br/>
      </w:r>
      <w:r>
        <w:rPr>
          <w:rFonts w:ascii="Times New Roman"/>
          <w:b w:val="false"/>
          <w:i w:val="false"/>
          <w:color w:val="000000"/>
          <w:sz w:val="28"/>
        </w:rPr>
        <w:t xml:space="preserve">
      </w:t>
      </w:r>
      <w:r>
        <w:rPr>
          <w:rFonts w:ascii="Times New Roman"/>
          <w:b w:val="false"/>
          <w:i w:val="false"/>
          <w:color w:val="000000"/>
          <w:sz w:val="28"/>
        </w:rPr>
        <w:t>Исламский банк развития (Islamic Development Bank);</w:t>
      </w:r>
      <w:r>
        <w:br/>
      </w:r>
      <w:r>
        <w:rPr>
          <w:rFonts w:ascii="Times New Roman"/>
          <w:b w:val="false"/>
          <w:i w:val="false"/>
          <w:color w:val="000000"/>
          <w:sz w:val="28"/>
        </w:rPr>
        <w:t xml:space="preserve">
      </w:t>
      </w:r>
      <w:r>
        <w:rPr>
          <w:rFonts w:ascii="Times New Roman"/>
          <w:b w:val="false"/>
          <w:i w:val="false"/>
          <w:color w:val="000000"/>
          <w:sz w:val="28"/>
        </w:rPr>
        <w:t>Банк международных расчетов (Bank for International Settlements);</w:t>
      </w:r>
      <w:r>
        <w:br/>
      </w:r>
      <w:r>
        <w:rPr>
          <w:rFonts w:ascii="Times New Roman"/>
          <w:b w:val="false"/>
          <w:i w:val="false"/>
          <w:color w:val="000000"/>
          <w:sz w:val="28"/>
        </w:rPr>
        <w:t xml:space="preserve">
      </w:t>
      </w:r>
      <w:r>
        <w:rPr>
          <w:rFonts w:ascii="Times New Roman"/>
          <w:b w:val="false"/>
          <w:i w:val="false"/>
          <w:color w:val="000000"/>
          <w:sz w:val="28"/>
        </w:rPr>
        <w:t>Международный банк реконструкции и развития (International Bank for Reconstruction and Development);</w:t>
      </w:r>
      <w:r>
        <w:br/>
      </w:r>
      <w:r>
        <w:rPr>
          <w:rFonts w:ascii="Times New Roman"/>
          <w:b w:val="false"/>
          <w:i w:val="false"/>
          <w:color w:val="000000"/>
          <w:sz w:val="28"/>
        </w:rPr>
        <w:t xml:space="preserve">
      </w:t>
      </w:r>
      <w:r>
        <w:rPr>
          <w:rFonts w:ascii="Times New Roman"/>
          <w:b w:val="false"/>
          <w:i w:val="false"/>
          <w:color w:val="000000"/>
          <w:sz w:val="28"/>
        </w:rPr>
        <w:t>Международная финансовая корпорация (International Finance Corporation).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21" w:id="49"/>
    <w:p>
      <w:pPr>
        <w:spacing w:after="0"/>
        <w:ind w:left="0"/>
        <w:jc w:val="left"/>
      </w:pPr>
      <w:r>
        <w:rPr>
          <w:rFonts w:ascii="Times New Roman"/>
          <w:b/>
          <w:i w:val="false"/>
          <w:color w:val="000000"/>
        </w:rPr>
        <w:t xml:space="preserve"> Минимальный требуемый рейтинг для облигаций, приобретаемых страховыми холдингами, и перечень рейтинговых агентств </w:t>
      </w:r>
    </w:p>
    <w:bookmarkEnd w:id="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Страховыми холдингами приобретаются облигации, имеющие следующий минимальный требуемый рейтинг:</w:t>
      </w:r>
      <w:r>
        <w:br/>
      </w:r>
      <w:r>
        <w:rPr>
          <w:rFonts w:ascii="Times New Roman"/>
          <w:b w:val="false"/>
          <w:i w:val="false"/>
          <w:color w:val="000000"/>
          <w:sz w:val="28"/>
        </w:rPr>
        <w:t xml:space="preserve">
      </w:t>
      </w:r>
      <w:r>
        <w:rPr>
          <w:rFonts w:ascii="Times New Roman"/>
          <w:b w:val="false"/>
          <w:i w:val="false"/>
          <w:color w:val="000000"/>
          <w:sz w:val="28"/>
        </w:rPr>
        <w:t>1) рейтинговая оценка не ниже "ВВВ-" по международной шкале агентства Standard &amp; Poor's или рейтинговая оценка аналогичного уровня по международной шкале рейтинговых агентств Moody's Investors Service, Fitch, а также их дочерних рейтинговых организаций, по облигациям, имеющим статус государственных, выпущенным центральными правительствами иностранных государств или Министерством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рейтинговая оценка не ниже "ВВВ-" по международной шкале рейтингового агентства Standard &amp; Poor's или рейтинговая оценка аналогичного уровня по международной шкале рейтинговых агентств Moody's Investors Service, Fitch, а также их дочерних рейтинговых организаций, по облигациям, выпущенным иностранными организациями;</w:t>
      </w:r>
      <w:r>
        <w:br/>
      </w:r>
      <w:r>
        <w:rPr>
          <w:rFonts w:ascii="Times New Roman"/>
          <w:b w:val="false"/>
          <w:i w:val="false"/>
          <w:color w:val="000000"/>
          <w:sz w:val="28"/>
        </w:rPr>
        <w:t xml:space="preserve">
      </w:t>
      </w:r>
      <w:r>
        <w:rPr>
          <w:rFonts w:ascii="Times New Roman"/>
          <w:b w:val="false"/>
          <w:i w:val="false"/>
          <w:color w:val="000000"/>
          <w:sz w:val="28"/>
        </w:rPr>
        <w:t>3) рейтинговая оценка не ниже "В-" по международной шкале или не ниже "kzBB-" по национальной шкале рейтингового агентства Standard &amp; Poor's, или рейтинговая оценка аналогичного уровня рейтинговых агентств Moody's Investors Service, Fitch, а также их дочерних рейтинговых организаций, по облигациям, выпущенным организациями Республики Казахстан в соответствии с законодательством Республики Казахстан и других государств.</w:t>
      </w:r>
      <w:r>
        <w:br/>
      </w:r>
      <w:r>
        <w:rPr>
          <w:rFonts w:ascii="Times New Roman"/>
          <w:b w:val="false"/>
          <w:i w:val="false"/>
          <w:color w:val="000000"/>
          <w:sz w:val="28"/>
        </w:rPr>
        <w:t xml:space="preserve">
      </w:t>
      </w:r>
      <w:r>
        <w:rPr>
          <w:rFonts w:ascii="Times New Roman"/>
          <w:b w:val="false"/>
          <w:i w:val="false"/>
          <w:color w:val="000000"/>
          <w:sz w:val="28"/>
        </w:rPr>
        <w:t>Страховые холдинги в целях хеджирования рисков также приобретают производные финансовые инструменты, базовым активом которых являются облигации, имеющие минимальный требуемый рейтинг, указанный в части первой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2. Установить следующий перечень рейтинговых агентств, минимальный требуемый рейтинг которых имеют облигации, приобретаемые страховыми холдингами:</w:t>
      </w:r>
      <w:r>
        <w:br/>
      </w:r>
      <w:r>
        <w:rPr>
          <w:rFonts w:ascii="Times New Roman"/>
          <w:b w:val="false"/>
          <w:i w:val="false"/>
          <w:color w:val="000000"/>
          <w:sz w:val="28"/>
        </w:rPr>
        <w:t xml:space="preserve">
      </w:t>
      </w:r>
      <w:r>
        <w:rPr>
          <w:rFonts w:ascii="Times New Roman"/>
          <w:b w:val="false"/>
          <w:i w:val="false"/>
          <w:color w:val="000000"/>
          <w:sz w:val="28"/>
        </w:rPr>
        <w:t>1) Standard &amp; Poor’s;</w:t>
      </w:r>
      <w:r>
        <w:br/>
      </w:r>
      <w:r>
        <w:rPr>
          <w:rFonts w:ascii="Times New Roman"/>
          <w:b w:val="false"/>
          <w:i w:val="false"/>
          <w:color w:val="000000"/>
          <w:sz w:val="28"/>
        </w:rPr>
        <w:t xml:space="preserve">
      </w:t>
      </w:r>
      <w:r>
        <w:rPr>
          <w:rFonts w:ascii="Times New Roman"/>
          <w:b w:val="false"/>
          <w:i w:val="false"/>
          <w:color w:val="000000"/>
          <w:sz w:val="28"/>
        </w:rPr>
        <w:t>2) Moody's Investors Service;</w:t>
      </w:r>
      <w:r>
        <w:br/>
      </w:r>
      <w:r>
        <w:rPr>
          <w:rFonts w:ascii="Times New Roman"/>
          <w:b w:val="false"/>
          <w:i w:val="false"/>
          <w:color w:val="000000"/>
          <w:sz w:val="28"/>
        </w:rPr>
        <w:t xml:space="preserve">
      </w:t>
      </w:r>
      <w:r>
        <w:rPr>
          <w:rFonts w:ascii="Times New Roman"/>
          <w:b w:val="false"/>
          <w:i w:val="false"/>
          <w:color w:val="000000"/>
          <w:sz w:val="28"/>
        </w:rPr>
        <w:t>3) Fitch;</w:t>
      </w:r>
      <w:r>
        <w:br/>
      </w:r>
      <w:r>
        <w:rPr>
          <w:rFonts w:ascii="Times New Roman"/>
          <w:b w:val="false"/>
          <w:i w:val="false"/>
          <w:color w:val="000000"/>
          <w:sz w:val="28"/>
        </w:rPr>
        <w:t xml:space="preserve">
      </w:t>
      </w:r>
      <w:r>
        <w:rPr>
          <w:rFonts w:ascii="Times New Roman"/>
          <w:b w:val="false"/>
          <w:i w:val="false"/>
          <w:color w:val="000000"/>
          <w:sz w:val="28"/>
        </w:rPr>
        <w:t>4) дочерние рейтинговые организации рейтинговых агентств, указанных в подпунктах 1), 2) и 3) настоящего пункта.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33" w:id="50"/>
    <w:p>
      <w:pPr>
        <w:spacing w:after="0"/>
        <w:ind w:left="0"/>
        <w:jc w:val="left"/>
      </w:pPr>
      <w:r>
        <w:rPr>
          <w:rFonts w:ascii="Times New Roman"/>
          <w:b/>
          <w:i w:val="false"/>
          <w:color w:val="000000"/>
        </w:rPr>
        <w:t xml:space="preserve"> Перечень финансовых инструментов (за исключением акций и долей участия в уставном капитале), приобретаемых страховыми (перестраховочными) организациями</w:t>
      </w:r>
    </w:p>
    <w:bookmarkEnd w:id="50"/>
    <w:p>
      <w:pPr>
        <w:spacing w:after="0"/>
        <w:ind w:left="0"/>
        <w:jc w:val="left"/>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r>
        <w:br/>
      </w:r>
      <w:r>
        <w:rPr>
          <w:rFonts w:ascii="Times New Roman"/>
          <w:b w:val="false"/>
          <w:i w:val="false"/>
          <w:color w:val="000000"/>
          <w:sz w:val="28"/>
        </w:rPr>
        <w:t xml:space="preserve">
      </w:t>
      </w:r>
      <w:r>
        <w:rPr>
          <w:rFonts w:ascii="Times New Roman"/>
          <w:b w:val="false"/>
          <w:i w:val="false"/>
          <w:color w:val="000000"/>
          <w:sz w:val="28"/>
        </w:rPr>
        <w:t>1) вклады в банках второго уровня Республики Казахстан при соответствии одному из следующих условий:</w:t>
      </w:r>
      <w:r>
        <w:br/>
      </w:r>
      <w:r>
        <w:rPr>
          <w:rFonts w:ascii="Times New Roman"/>
          <w:b w:val="false"/>
          <w:i w:val="false"/>
          <w:color w:val="000000"/>
          <w:sz w:val="28"/>
        </w:rPr>
        <w:t xml:space="preserve">
      </w:t>
      </w:r>
      <w:r>
        <w:rPr>
          <w:rFonts w:ascii="Times New Roman"/>
          <w:b w:val="false"/>
          <w:i w:val="false"/>
          <w:color w:val="000000"/>
          <w:sz w:val="28"/>
        </w:rPr>
        <w:t>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r>
        <w:br/>
      </w:r>
      <w:r>
        <w:rPr>
          <w:rFonts w:ascii="Times New Roman"/>
          <w:b w:val="false"/>
          <w:i w:val="false"/>
          <w:color w:val="000000"/>
          <w:sz w:val="28"/>
        </w:rPr>
        <w:t xml:space="preserve">
      </w:t>
      </w:r>
      <w:r>
        <w:rPr>
          <w:rFonts w:ascii="Times New Roman"/>
          <w:b w:val="false"/>
          <w:i w:val="false"/>
          <w:color w:val="000000"/>
          <w:sz w:val="28"/>
        </w:rPr>
        <w:t>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r>
        <w:br/>
      </w:r>
      <w:r>
        <w:rPr>
          <w:rFonts w:ascii="Times New Roman"/>
          <w:b w:val="false"/>
          <w:i w:val="false"/>
          <w:color w:val="000000"/>
          <w:sz w:val="28"/>
        </w:rPr>
        <w:t xml:space="preserve">
      </w:t>
      </w:r>
      <w:r>
        <w:rPr>
          <w:rFonts w:ascii="Times New Roman"/>
          <w:b w:val="false"/>
          <w:i w:val="false"/>
          <w:color w:val="000000"/>
          <w:sz w:val="28"/>
        </w:rPr>
        <w:t>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w:t>
      </w:r>
      <w:r>
        <w:br/>
      </w:r>
      <w:r>
        <w:rPr>
          <w:rFonts w:ascii="Times New Roman"/>
          <w:b w:val="false"/>
          <w:i w:val="false"/>
          <w:color w:val="000000"/>
          <w:sz w:val="28"/>
        </w:rPr>
        <w:t xml:space="preserve">
      </w:t>
      </w:r>
      <w:r>
        <w:rPr>
          <w:rFonts w:ascii="Times New Roman"/>
          <w:b w:val="false"/>
          <w:i w:val="false"/>
          <w:color w:val="000000"/>
          <w:sz w:val="28"/>
        </w:rPr>
        <w:t>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r>
        <w:br/>
      </w:r>
      <w:r>
        <w:rPr>
          <w:rFonts w:ascii="Times New Roman"/>
          <w:b w:val="false"/>
          <w:i w:val="false"/>
          <w:color w:val="000000"/>
          <w:sz w:val="28"/>
        </w:rPr>
        <w:t xml:space="preserve">
      </w:t>
      </w:r>
      <w:r>
        <w:rPr>
          <w:rFonts w:ascii="Times New Roman"/>
          <w:b w:val="false"/>
          <w:i w:val="false"/>
          <w:color w:val="000000"/>
          <w:sz w:val="28"/>
        </w:rPr>
        <w:t>8) долговые ценные бумаги, по которым имеется государственная гарантия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11) долговые ценные бумаги, выпущенные следующими международными финансовыми организациями:</w:t>
      </w:r>
      <w:r>
        <w:br/>
      </w:r>
      <w:r>
        <w:rPr>
          <w:rFonts w:ascii="Times New Roman"/>
          <w:b w:val="false"/>
          <w:i w:val="false"/>
          <w:color w:val="000000"/>
          <w:sz w:val="28"/>
        </w:rPr>
        <w:t xml:space="preserve">
      </w:t>
      </w:r>
      <w:r>
        <w:rPr>
          <w:rFonts w:ascii="Times New Roman"/>
          <w:b w:val="false"/>
          <w:i w:val="false"/>
          <w:color w:val="000000"/>
          <w:sz w:val="28"/>
        </w:rPr>
        <w:t>Азиатский банк развития (Asian Development Bank);</w:t>
      </w:r>
      <w:r>
        <w:br/>
      </w:r>
      <w:r>
        <w:rPr>
          <w:rFonts w:ascii="Times New Roman"/>
          <w:b w:val="false"/>
          <w:i w:val="false"/>
          <w:color w:val="000000"/>
          <w:sz w:val="28"/>
        </w:rPr>
        <w:t xml:space="preserve">
      </w:t>
      </w:r>
      <w:r>
        <w:rPr>
          <w:rFonts w:ascii="Times New Roman"/>
          <w:b w:val="false"/>
          <w:i w:val="false"/>
          <w:color w:val="000000"/>
          <w:sz w:val="28"/>
        </w:rPr>
        <w:t>Азиатский банк инфраструктурных инвестиций (the Asian Infrastructure Investment Bank);</w:t>
      </w:r>
      <w:r>
        <w:br/>
      </w:r>
      <w:r>
        <w:rPr>
          <w:rFonts w:ascii="Times New Roman"/>
          <w:b w:val="false"/>
          <w:i w:val="false"/>
          <w:color w:val="000000"/>
          <w:sz w:val="28"/>
        </w:rPr>
        <w:t xml:space="preserve">
      </w:t>
      </w:r>
      <w:r>
        <w:rPr>
          <w:rFonts w:ascii="Times New Roman"/>
          <w:b w:val="false"/>
          <w:i w:val="false"/>
          <w:color w:val="000000"/>
          <w:sz w:val="28"/>
        </w:rPr>
        <w:t>Межамериканский банк развития (Inter-American Development Bank);</w:t>
      </w:r>
      <w:r>
        <w:br/>
      </w:r>
      <w:r>
        <w:rPr>
          <w:rFonts w:ascii="Times New Roman"/>
          <w:b w:val="false"/>
          <w:i w:val="false"/>
          <w:color w:val="000000"/>
          <w:sz w:val="28"/>
        </w:rPr>
        <w:t xml:space="preserve">
      </w:t>
      </w:r>
      <w:r>
        <w:rPr>
          <w:rFonts w:ascii="Times New Roman"/>
          <w:b w:val="false"/>
          <w:i w:val="false"/>
          <w:color w:val="000000"/>
          <w:sz w:val="28"/>
        </w:rPr>
        <w:t>Африканский банк развития (African Development Bank);</w:t>
      </w:r>
      <w:r>
        <w:br/>
      </w:r>
      <w:r>
        <w:rPr>
          <w:rFonts w:ascii="Times New Roman"/>
          <w:b w:val="false"/>
          <w:i w:val="false"/>
          <w:color w:val="000000"/>
          <w:sz w:val="28"/>
        </w:rPr>
        <w:t xml:space="preserve">
      </w:t>
      </w:r>
      <w:r>
        <w:rPr>
          <w:rFonts w:ascii="Times New Roman"/>
          <w:b w:val="false"/>
          <w:i w:val="false"/>
          <w:color w:val="000000"/>
          <w:sz w:val="28"/>
        </w:rPr>
        <w:t>Евразийский банк развития (Eurasian Development Bank);</w:t>
      </w:r>
      <w:r>
        <w:br/>
      </w:r>
      <w:r>
        <w:rPr>
          <w:rFonts w:ascii="Times New Roman"/>
          <w:b w:val="false"/>
          <w:i w:val="false"/>
          <w:color w:val="000000"/>
          <w:sz w:val="28"/>
        </w:rPr>
        <w:t xml:space="preserve">
      </w:t>
      </w:r>
      <w:r>
        <w:rPr>
          <w:rFonts w:ascii="Times New Roman"/>
          <w:b w:val="false"/>
          <w:i w:val="false"/>
          <w:color w:val="000000"/>
          <w:sz w:val="28"/>
        </w:rPr>
        <w:t>Европейский банк реконструкции и развития (the European Bank for Reconstruction and Development);</w:t>
      </w:r>
      <w:r>
        <w:br/>
      </w:r>
      <w:r>
        <w:rPr>
          <w:rFonts w:ascii="Times New Roman"/>
          <w:b w:val="false"/>
          <w:i w:val="false"/>
          <w:color w:val="000000"/>
          <w:sz w:val="28"/>
        </w:rPr>
        <w:t xml:space="preserve">
      </w:t>
      </w:r>
      <w:r>
        <w:rPr>
          <w:rFonts w:ascii="Times New Roman"/>
          <w:b w:val="false"/>
          <w:i w:val="false"/>
          <w:color w:val="000000"/>
          <w:sz w:val="28"/>
        </w:rPr>
        <w:t>Европейский инвестиционный банк (European Investment Bank);</w:t>
      </w:r>
      <w:r>
        <w:br/>
      </w:r>
      <w:r>
        <w:rPr>
          <w:rFonts w:ascii="Times New Roman"/>
          <w:b w:val="false"/>
          <w:i w:val="false"/>
          <w:color w:val="000000"/>
          <w:sz w:val="28"/>
        </w:rPr>
        <w:t xml:space="preserve">
      </w:t>
      </w:r>
      <w:r>
        <w:rPr>
          <w:rFonts w:ascii="Times New Roman"/>
          <w:b w:val="false"/>
          <w:i w:val="false"/>
          <w:color w:val="000000"/>
          <w:sz w:val="28"/>
        </w:rPr>
        <w:t>Банк Развития Европейского Совета (the Council of Europe Development Bank);</w:t>
      </w:r>
      <w:r>
        <w:br/>
      </w:r>
      <w:r>
        <w:rPr>
          <w:rFonts w:ascii="Times New Roman"/>
          <w:b w:val="false"/>
          <w:i w:val="false"/>
          <w:color w:val="000000"/>
          <w:sz w:val="28"/>
        </w:rPr>
        <w:t xml:space="preserve">
      </w:t>
      </w:r>
      <w:r>
        <w:rPr>
          <w:rFonts w:ascii="Times New Roman"/>
          <w:b w:val="false"/>
          <w:i w:val="false"/>
          <w:color w:val="000000"/>
          <w:sz w:val="28"/>
        </w:rPr>
        <w:t>Исламская корпорация по развитию частного сектора (the Islamic Corporation for the Development of the Private Sector);</w:t>
      </w:r>
      <w:r>
        <w:br/>
      </w:r>
      <w:r>
        <w:rPr>
          <w:rFonts w:ascii="Times New Roman"/>
          <w:b w:val="false"/>
          <w:i w:val="false"/>
          <w:color w:val="000000"/>
          <w:sz w:val="28"/>
        </w:rPr>
        <w:t xml:space="preserve">
      </w:t>
      </w:r>
      <w:r>
        <w:rPr>
          <w:rFonts w:ascii="Times New Roman"/>
          <w:b w:val="false"/>
          <w:i w:val="false"/>
          <w:color w:val="000000"/>
          <w:sz w:val="28"/>
        </w:rPr>
        <w:t>Исламский банк развития (Islamic Development Bank);</w:t>
      </w:r>
      <w:r>
        <w:br/>
      </w:r>
      <w:r>
        <w:rPr>
          <w:rFonts w:ascii="Times New Roman"/>
          <w:b w:val="false"/>
          <w:i w:val="false"/>
          <w:color w:val="000000"/>
          <w:sz w:val="28"/>
        </w:rPr>
        <w:t xml:space="preserve">
      </w:t>
      </w:r>
      <w:r>
        <w:rPr>
          <w:rFonts w:ascii="Times New Roman"/>
          <w:b w:val="false"/>
          <w:i w:val="false"/>
          <w:color w:val="000000"/>
          <w:sz w:val="28"/>
        </w:rPr>
        <w:t>Многостороннее агентство гарантии инвестиций (the Multilateral Investment Guarantee Agency);</w:t>
      </w:r>
      <w:r>
        <w:br/>
      </w:r>
      <w:r>
        <w:rPr>
          <w:rFonts w:ascii="Times New Roman"/>
          <w:b w:val="false"/>
          <w:i w:val="false"/>
          <w:color w:val="000000"/>
          <w:sz w:val="28"/>
        </w:rPr>
        <w:t xml:space="preserve">
      </w:t>
      </w:r>
      <w:r>
        <w:rPr>
          <w:rFonts w:ascii="Times New Roman"/>
          <w:b w:val="false"/>
          <w:i w:val="false"/>
          <w:color w:val="000000"/>
          <w:sz w:val="28"/>
        </w:rPr>
        <w:t>Скандинавский инвестиционный банк (the Nordic Investment Bank);</w:t>
      </w:r>
      <w:r>
        <w:br/>
      </w:r>
      <w:r>
        <w:rPr>
          <w:rFonts w:ascii="Times New Roman"/>
          <w:b w:val="false"/>
          <w:i w:val="false"/>
          <w:color w:val="000000"/>
          <w:sz w:val="28"/>
        </w:rPr>
        <w:t xml:space="preserve">
      </w:t>
      </w:r>
      <w:r>
        <w:rPr>
          <w:rFonts w:ascii="Times New Roman"/>
          <w:b w:val="false"/>
          <w:i w:val="false"/>
          <w:color w:val="000000"/>
          <w:sz w:val="28"/>
        </w:rPr>
        <w:t>Международный валютный фонд (the International Monetary Fund);</w:t>
      </w:r>
      <w:r>
        <w:br/>
      </w:r>
      <w:r>
        <w:rPr>
          <w:rFonts w:ascii="Times New Roman"/>
          <w:b w:val="false"/>
          <w:i w:val="false"/>
          <w:color w:val="000000"/>
          <w:sz w:val="28"/>
        </w:rPr>
        <w:t xml:space="preserve">
      </w:t>
      </w:r>
      <w:r>
        <w:rPr>
          <w:rFonts w:ascii="Times New Roman"/>
          <w:b w:val="false"/>
          <w:i w:val="false"/>
          <w:color w:val="000000"/>
          <w:sz w:val="28"/>
        </w:rPr>
        <w:t>Международная ассоциация развития (the International Development Association);</w:t>
      </w:r>
      <w:r>
        <w:br/>
      </w:r>
      <w:r>
        <w:rPr>
          <w:rFonts w:ascii="Times New Roman"/>
          <w:b w:val="false"/>
          <w:i w:val="false"/>
          <w:color w:val="000000"/>
          <w:sz w:val="28"/>
        </w:rPr>
        <w:t xml:space="preserve">
      </w:t>
      </w:r>
      <w:r>
        <w:rPr>
          <w:rFonts w:ascii="Times New Roman"/>
          <w:b w:val="false"/>
          <w:i w:val="false"/>
          <w:color w:val="000000"/>
          <w:sz w:val="28"/>
        </w:rPr>
        <w:t>Банк международных расчетов (the Bank for International Settlements);</w:t>
      </w:r>
      <w:r>
        <w:br/>
      </w:r>
      <w:r>
        <w:rPr>
          <w:rFonts w:ascii="Times New Roman"/>
          <w:b w:val="false"/>
          <w:i w:val="false"/>
          <w:color w:val="000000"/>
          <w:sz w:val="28"/>
        </w:rPr>
        <w:t xml:space="preserve">
      </w:t>
      </w:r>
      <w:r>
        <w:rPr>
          <w:rFonts w:ascii="Times New Roman"/>
          <w:b w:val="false"/>
          <w:i w:val="false"/>
          <w:color w:val="000000"/>
          <w:sz w:val="28"/>
        </w:rPr>
        <w:t>Международный центр по урегулированию инвестиционных споров (the International Centre for Settlement of Investment Disputes);</w:t>
      </w:r>
      <w:r>
        <w:br/>
      </w:r>
      <w:r>
        <w:rPr>
          <w:rFonts w:ascii="Times New Roman"/>
          <w:b w:val="false"/>
          <w:i w:val="false"/>
          <w:color w:val="000000"/>
          <w:sz w:val="28"/>
        </w:rPr>
        <w:t xml:space="preserve">
      </w:t>
      </w:r>
      <w:r>
        <w:rPr>
          <w:rFonts w:ascii="Times New Roman"/>
          <w:b w:val="false"/>
          <w:i w:val="false"/>
          <w:color w:val="000000"/>
          <w:sz w:val="28"/>
        </w:rPr>
        <w:t>Международный банк реконструкции и развития (the International Bank for Reconstruction and Development);</w:t>
      </w:r>
      <w:r>
        <w:br/>
      </w:r>
      <w:r>
        <w:rPr>
          <w:rFonts w:ascii="Times New Roman"/>
          <w:b w:val="false"/>
          <w:i w:val="false"/>
          <w:color w:val="000000"/>
          <w:sz w:val="28"/>
        </w:rPr>
        <w:t xml:space="preserve">
      </w:t>
      </w:r>
      <w:r>
        <w:rPr>
          <w:rFonts w:ascii="Times New Roman"/>
          <w:b w:val="false"/>
          <w:i w:val="false"/>
          <w:color w:val="000000"/>
          <w:sz w:val="28"/>
        </w:rPr>
        <w:t>Международная финансовая корпорация (the International Finance Corporation);</w:t>
      </w:r>
      <w:r>
        <w:br/>
      </w:r>
      <w:r>
        <w:rPr>
          <w:rFonts w:ascii="Times New Roman"/>
          <w:b w:val="false"/>
          <w:i w:val="false"/>
          <w:color w:val="000000"/>
          <w:sz w:val="28"/>
        </w:rPr>
        <w:t xml:space="preserve">
      </w:t>
      </w:r>
      <w:r>
        <w:rPr>
          <w:rFonts w:ascii="Times New Roman"/>
          <w:b w:val="false"/>
          <w:i w:val="false"/>
          <w:color w:val="000000"/>
          <w:sz w:val="28"/>
        </w:rPr>
        <w:t>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14) аффинированные драгоценные металлы и металлические счета;</w:t>
      </w:r>
      <w:r>
        <w:br/>
      </w:r>
      <w:r>
        <w:rPr>
          <w:rFonts w:ascii="Times New Roman"/>
          <w:b w:val="false"/>
          <w:i w:val="false"/>
          <w:color w:val="000000"/>
          <w:sz w:val="28"/>
        </w:rPr>
        <w:t xml:space="preserve">
      </w:t>
      </w:r>
      <w:r>
        <w:rPr>
          <w:rFonts w:ascii="Times New Roman"/>
          <w:b w:val="false"/>
          <w:i w:val="false"/>
          <w:color w:val="000000"/>
          <w:sz w:val="28"/>
        </w:rPr>
        <w:t>15)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r>
        <w:br/>
      </w:r>
      <w:r>
        <w:rPr>
          <w:rFonts w:ascii="Times New Roman"/>
          <w:b w:val="false"/>
          <w:i w:val="false"/>
          <w:color w:val="000000"/>
          <w:sz w:val="28"/>
        </w:rPr>
        <w:t xml:space="preserve">
      </w:t>
      </w:r>
      <w:r>
        <w:rPr>
          <w:rFonts w:ascii="Times New Roman"/>
          <w:b w:val="false"/>
          <w:i w:val="false"/>
          <w:color w:val="000000"/>
          <w:sz w:val="28"/>
        </w:rPr>
        <w:t>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r>
        <w:br/>
      </w:r>
      <w:r>
        <w:rPr>
          <w:rFonts w:ascii="Times New Roman"/>
          <w:b w:val="false"/>
          <w:i w:val="false"/>
          <w:color w:val="000000"/>
          <w:sz w:val="28"/>
        </w:rPr>
        <w:t xml:space="preserve">
      </w:t>
      </w:r>
      <w:r>
        <w:rPr>
          <w:rFonts w:ascii="Times New Roman"/>
          <w:b w:val="false"/>
          <w:i w:val="false"/>
          <w:color w:val="000000"/>
          <w:sz w:val="28"/>
        </w:rPr>
        <w:t>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2. Страховые (перестраховочные) организации в целях хеджирования рисков также приобретают производные финансовые инструменты, базовым активом которых являются финансовые инструменты, разрешенные к приобретению страховыми (перестраховочными) организациями в соответствии с настоящим Перечнем и Требованиями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установленными настоящим постановлением, а также иностранная валюта стран, имеющих суверенный рейтинг не ниже "АА-" по международной шкале агентства Standard &amp; Poor's (Стандард энд Пурс) или рейтинга аналогичного уровня одного из других рейтинговых агентств, и валюта "евро".</w:t>
      </w:r>
      <w:r>
        <w:br/>
      </w:r>
      <w:r>
        <w:rPr>
          <w:rFonts w:ascii="Times New Roman"/>
          <w:b w:val="false"/>
          <w:i w:val="false"/>
          <w:color w:val="000000"/>
          <w:sz w:val="28"/>
        </w:rPr>
        <w:t xml:space="preserve">
      </w:t>
      </w:r>
      <w:r>
        <w:rPr>
          <w:rFonts w:ascii="Times New Roman"/>
          <w:b w:val="false"/>
          <w:i w:val="false"/>
          <w:color w:val="000000"/>
          <w:sz w:val="28"/>
        </w:rPr>
        <w:t>3. Страховые (перестраховочные) организации приобретают финансовые инструменты юридических лиц (за исключением вкладов в банках второго уровня Республики Казахстан), указанные в настоящем Перечне и в Требованиях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установленных настоящим постановлением, с использованием услуг профессиональных участников рынка ценных бумаг, обладающих лицензиями на осуществление брокерской и (или) дилерской деятельности или деятельности по управлению инвестиционным портфелем, выданными уполномоченным органом или уполномоченным органом страны-регистрации профессиональных участников рынка ценных бумаг.</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77" w:id="5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15 ноября 2008 года в Собрании актов центральных исполнительных и иных центральных государственных органов Республики Казахстан № 11).</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250 "О внесении дополнений 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5536).</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августа 2009 года № 198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5812).</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238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5990).</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22 "О внесении изменений и дополнения в некоторые нормативные правовые акты Республики Казахстан по вопросам деятельности обществ взаимного страхования" (зарегистрированное в Реестре государственной регистрации нормативных правовых актов под № 6158).</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146 "О внесении дополнений 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6560).</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Агентства Республики Казахстан по регулированию и надзору финансового рынка и финансовых организаций, в которые вносятся изменения и дополнения, утвержденного постановлением Правления Агентства Республики Казахстан по регулированию и надзору финансового рынка и финансовых организаций от 29 ноября 2010 года № 174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6717).</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января 2012 года № 19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7462, опубликованное 12 мая 2012 года в газете "Казахстанская правда" № 136-137 (26955-26956)).</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98 "Об установлении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а также перечня облигаций международных финансовых организаций и финансовых инструментов (за исключением акций и долей участия в уставном капитале), приобретаемых страховыми холдингами и страховыми (перестраховочными) организациями" (зарегистрированное в Реестре государственной регистрации нормативных правовых актов под № 7550, опубликованное 4 августа 2012 года в газете "Казахстанская правда" № 251-253 (27070-27072)).</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2012 года № 374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8271, опубликованным 4 мая 2013 года в газете "Казахстанская правда" № 156-157 (27430-27431).</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6 мая 2014 года № 77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9607, опубликованное 6 августа 2014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(зарегистрированным в Реестре государственной регистрации нормативных правовых актов под № 10339, опубликованным 18 марта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28 января 2016 года № 12 "О внесении изменений и дополнений в некоторые нормативные правовые акты Республики Казахстан по вопросам финансового рынка и финансовых организаций" (зарегистрированным в Реестре государственной регистрации нормативных правовых актов под № 13308, опубликованным 14 марта 2016 года в информационно-правовой системе "Әділет").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