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a79b" w14:textId="00da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пруденциальных нормативов для Национального оператора почты</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2016 года № 307. Зарегистрировано в Министерстве юстиции Республики Казахстан 9 февраля 2017 года № 14786.</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bookmarkStart w:name="z3" w:id="0"/>
    <w:p>
      <w:pPr>
        <w:spacing w:after="0"/>
        <w:ind w:left="0"/>
        <w:jc w:val="both"/>
      </w:pPr>
      <w:r>
        <w:rPr>
          <w:rFonts w:ascii="Times New Roman"/>
          <w:b w:val="false"/>
          <w:i w:val="false"/>
          <w:color w:val="000000"/>
          <w:sz w:val="28"/>
        </w:rPr>
        <w:t>
      В соответствии с законами Республики Казахстан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и от 9 апреля 2016 года "</w:t>
      </w:r>
      <w:r>
        <w:rPr>
          <w:rFonts w:ascii="Times New Roman"/>
          <w:b w:val="false"/>
          <w:i w:val="false"/>
          <w:color w:val="000000"/>
          <w:sz w:val="28"/>
        </w:rPr>
        <w:t>О почте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для Национального оператора почты следующие пруденциальные нормативы:</w:t>
      </w:r>
    </w:p>
    <w:bookmarkEnd w:id="1"/>
    <w:bookmarkStart w:name="z174" w:id="2"/>
    <w:p>
      <w:pPr>
        <w:spacing w:after="0"/>
        <w:ind w:left="0"/>
        <w:jc w:val="both"/>
      </w:pPr>
      <w:r>
        <w:rPr>
          <w:rFonts w:ascii="Times New Roman"/>
          <w:b w:val="false"/>
          <w:i w:val="false"/>
          <w:color w:val="000000"/>
          <w:sz w:val="28"/>
        </w:rPr>
        <w:t>
      1) коэффициент достаточности собственных средств, значение которого на конец отчетного месяца составляет не менее 0,12.</w:t>
      </w:r>
    </w:p>
    <w:bookmarkEnd w:id="2"/>
    <w:p>
      <w:pPr>
        <w:spacing w:after="0"/>
        <w:ind w:left="0"/>
        <w:jc w:val="both"/>
      </w:pPr>
      <w:r>
        <w:rPr>
          <w:rFonts w:ascii="Times New Roman"/>
          <w:b w:val="false"/>
          <w:i w:val="false"/>
          <w:color w:val="000000"/>
          <w:sz w:val="28"/>
        </w:rPr>
        <w:t>
      Коэффициент достаточности собственных средств рассчитывается как отношение собственного капитала Национального оператора почты к сумме его активов, взвешенных по степени кредитного риска.</w:t>
      </w:r>
    </w:p>
    <w:p>
      <w:pPr>
        <w:spacing w:after="0"/>
        <w:ind w:left="0"/>
        <w:jc w:val="both"/>
      </w:pPr>
      <w:r>
        <w:rPr>
          <w:rFonts w:ascii="Times New Roman"/>
          <w:b w:val="false"/>
          <w:i w:val="false"/>
          <w:color w:val="000000"/>
          <w:sz w:val="28"/>
        </w:rPr>
        <w:t xml:space="preserve">
      Расчет активов, взвешиваемых по степени кредитного риска, проводится в соответствии с Таблицей активов Национального оператора почты, взвешенных по степени кредитного риска вложений,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 </w:t>
      </w:r>
    </w:p>
    <w:bookmarkStart w:name="z175" w:id="3"/>
    <w:p>
      <w:pPr>
        <w:spacing w:after="0"/>
        <w:ind w:left="0"/>
        <w:jc w:val="both"/>
      </w:pPr>
      <w:r>
        <w:rPr>
          <w:rFonts w:ascii="Times New Roman"/>
          <w:b w:val="false"/>
          <w:i w:val="false"/>
          <w:color w:val="000000"/>
          <w:sz w:val="28"/>
        </w:rPr>
        <w:t>
      2) коэффициент ликвидности, значение которого на конец отчетного месяца составляет не менее 0,30.</w:t>
      </w:r>
    </w:p>
    <w:bookmarkEnd w:id="3"/>
    <w:p>
      <w:pPr>
        <w:spacing w:after="0"/>
        <w:ind w:left="0"/>
        <w:jc w:val="both"/>
      </w:pPr>
      <w:r>
        <w:rPr>
          <w:rFonts w:ascii="Times New Roman"/>
          <w:b w:val="false"/>
          <w:i w:val="false"/>
          <w:color w:val="000000"/>
          <w:sz w:val="28"/>
        </w:rPr>
        <w:t>
      Коэффициент ликвидности рассчитывается как отношение размера высоколиквидных активов к величине обязательств до востребования.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Собственный капитал Национального оператора почты рассчитывается как сумма:</w:t>
      </w:r>
    </w:p>
    <w:bookmarkEnd w:id="4"/>
    <w:p>
      <w:pPr>
        <w:spacing w:after="0"/>
        <w:ind w:left="0"/>
        <w:jc w:val="both"/>
      </w:pPr>
      <w:r>
        <w:rPr>
          <w:rFonts w:ascii="Times New Roman"/>
          <w:b w:val="false"/>
          <w:i w:val="false"/>
          <w:color w:val="000000"/>
          <w:sz w:val="28"/>
        </w:rPr>
        <w:t>
      оплаченного уставного капитала (в пределах сумм, оплаченных деньгами);</w:t>
      </w:r>
    </w:p>
    <w:p>
      <w:pPr>
        <w:spacing w:after="0"/>
        <w:ind w:left="0"/>
        <w:jc w:val="both"/>
      </w:pPr>
      <w:r>
        <w:rPr>
          <w:rFonts w:ascii="Times New Roman"/>
          <w:b w:val="false"/>
          <w:i w:val="false"/>
          <w:color w:val="000000"/>
          <w:sz w:val="28"/>
        </w:rPr>
        <w:t>
      дополнительного капитала;</w:t>
      </w:r>
    </w:p>
    <w:p>
      <w:pPr>
        <w:spacing w:after="0"/>
        <w:ind w:left="0"/>
        <w:jc w:val="both"/>
      </w:pPr>
      <w:r>
        <w:rPr>
          <w:rFonts w:ascii="Times New Roman"/>
          <w:b w:val="false"/>
          <w:i w:val="false"/>
          <w:color w:val="000000"/>
          <w:sz w:val="28"/>
        </w:rPr>
        <w:t>
      нераспределенного чистого дохода прошлых лет (в том числе фондов, резервов, сформированных за счет нераспределенного чистого дохода);</w:t>
      </w:r>
    </w:p>
    <w:p>
      <w:pPr>
        <w:spacing w:after="0"/>
        <w:ind w:left="0"/>
        <w:jc w:val="both"/>
      </w:pPr>
      <w:r>
        <w:rPr>
          <w:rFonts w:ascii="Times New Roman"/>
          <w:b w:val="false"/>
          <w:i w:val="false"/>
          <w:color w:val="000000"/>
          <w:sz w:val="28"/>
        </w:rPr>
        <w:t>
      превышения доходов текущего года над расходами текущего года;</w:t>
      </w:r>
    </w:p>
    <w:p>
      <w:pPr>
        <w:spacing w:after="0"/>
        <w:ind w:left="0"/>
        <w:jc w:val="both"/>
      </w:pPr>
      <w:r>
        <w:rPr>
          <w:rFonts w:ascii="Times New Roman"/>
          <w:b w:val="false"/>
          <w:i w:val="false"/>
          <w:color w:val="000000"/>
          <w:sz w:val="28"/>
        </w:rPr>
        <w:t>
      за минусом:</w:t>
      </w:r>
    </w:p>
    <w:p>
      <w:pPr>
        <w:spacing w:after="0"/>
        <w:ind w:left="0"/>
        <w:jc w:val="both"/>
      </w:pPr>
      <w:r>
        <w:rPr>
          <w:rFonts w:ascii="Times New Roman"/>
          <w:b w:val="false"/>
          <w:i w:val="false"/>
          <w:color w:val="000000"/>
          <w:sz w:val="28"/>
        </w:rPr>
        <w:t>
      нематериальных активов;</w:t>
      </w:r>
    </w:p>
    <w:p>
      <w:pPr>
        <w:spacing w:after="0"/>
        <w:ind w:left="0"/>
        <w:jc w:val="both"/>
      </w:pPr>
      <w:r>
        <w:rPr>
          <w:rFonts w:ascii="Times New Roman"/>
          <w:b w:val="false"/>
          <w:i w:val="false"/>
          <w:color w:val="000000"/>
          <w:sz w:val="28"/>
        </w:rPr>
        <w:t>
      убытков прошлых лет;</w:t>
      </w:r>
    </w:p>
    <w:p>
      <w:pPr>
        <w:spacing w:after="0"/>
        <w:ind w:left="0"/>
        <w:jc w:val="both"/>
      </w:pPr>
      <w:r>
        <w:rPr>
          <w:rFonts w:ascii="Times New Roman"/>
          <w:b w:val="false"/>
          <w:i w:val="false"/>
          <w:color w:val="000000"/>
          <w:sz w:val="28"/>
        </w:rPr>
        <w:t>
      превышения расходов текущего года над доходами текущего года;</w:t>
      </w:r>
    </w:p>
    <w:p>
      <w:pPr>
        <w:spacing w:after="0"/>
        <w:ind w:left="0"/>
        <w:jc w:val="both"/>
      </w:pPr>
      <w:r>
        <w:rPr>
          <w:rFonts w:ascii="Times New Roman"/>
          <w:b w:val="false"/>
          <w:i w:val="false"/>
          <w:color w:val="000000"/>
          <w:sz w:val="28"/>
        </w:rPr>
        <w:t>
      участия в уставном капитале других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3. В расчет высоколиквидных активов включаются:</w:t>
      </w:r>
    </w:p>
    <w:bookmarkEnd w:id="5"/>
    <w:bookmarkStart w:name="z150" w:id="6"/>
    <w:p>
      <w:pPr>
        <w:spacing w:after="0"/>
        <w:ind w:left="0"/>
        <w:jc w:val="both"/>
      </w:pPr>
      <w:r>
        <w:rPr>
          <w:rFonts w:ascii="Times New Roman"/>
          <w:b w:val="false"/>
          <w:i w:val="false"/>
          <w:color w:val="000000"/>
          <w:sz w:val="28"/>
        </w:rPr>
        <w:t>
      1) деньги, в том числе:</w:t>
      </w:r>
    </w:p>
    <w:bookmarkEnd w:id="6"/>
    <w:bookmarkStart w:name="z151" w:id="7"/>
    <w:p>
      <w:pPr>
        <w:spacing w:after="0"/>
        <w:ind w:left="0"/>
        <w:jc w:val="both"/>
      </w:pPr>
      <w:r>
        <w:rPr>
          <w:rFonts w:ascii="Times New Roman"/>
          <w:b w:val="false"/>
          <w:i w:val="false"/>
          <w:color w:val="000000"/>
          <w:sz w:val="28"/>
        </w:rPr>
        <w:t>
      деньги в кассе, не более 10 (десяти) процентов от суммы активов по балансу Национального оператора почты;</w:t>
      </w:r>
    </w:p>
    <w:bookmarkEnd w:id="7"/>
    <w:bookmarkStart w:name="z152" w:id="8"/>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w:t>
      </w:r>
    </w:p>
    <w:bookmarkEnd w:id="8"/>
    <w:bookmarkStart w:name="z153" w:id="9"/>
    <w:p>
      <w:pPr>
        <w:spacing w:after="0"/>
        <w:ind w:left="0"/>
        <w:jc w:val="both"/>
      </w:pPr>
      <w:r>
        <w:rPr>
          <w:rFonts w:ascii="Times New Roman"/>
          <w:b w:val="false"/>
          <w:i w:val="false"/>
          <w:color w:val="000000"/>
          <w:sz w:val="28"/>
        </w:rPr>
        <w:t>
      деньги на счетах в центральном депозитарии;</w:t>
      </w:r>
    </w:p>
    <w:bookmarkEnd w:id="9"/>
    <w:bookmarkStart w:name="z154" w:id="10"/>
    <w:p>
      <w:pPr>
        <w:spacing w:after="0"/>
        <w:ind w:left="0"/>
        <w:jc w:val="both"/>
      </w:pPr>
      <w:r>
        <w:rPr>
          <w:rFonts w:ascii="Times New Roman"/>
          <w:b w:val="false"/>
          <w:i w:val="false"/>
          <w:color w:val="000000"/>
          <w:sz w:val="28"/>
        </w:rPr>
        <w:t>
      деньги Национального оператора почты,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0"/>
    <w:bookmarkStart w:name="z155" w:id="11"/>
    <w:p>
      <w:pPr>
        <w:spacing w:after="0"/>
        <w:ind w:left="0"/>
        <w:jc w:val="both"/>
      </w:pPr>
      <w:r>
        <w:rPr>
          <w:rFonts w:ascii="Times New Roman"/>
          <w:b w:val="false"/>
          <w:i w:val="false"/>
          <w:color w:val="000000"/>
          <w:sz w:val="28"/>
        </w:rPr>
        <w:t>
      деньги на текущих счетах в банках-нерезидентах Республики Казахстан, имеющих долгосрочный и (или) краткосрочный, индивидуальный рейтинг не ниже категории "ВВВ-" по международной шкале агентства Standard &amp; Poor’s (Стандард энд Пурс) или рейтинговую оценку аналогичного уровня рейтинговых агентств Moody’s Investors Service (Мудис Инвесторс Сервис), Fitch (Фич) или их дочерних рейтинговых организаций (далее - другие рейтинговые агентства);</w:t>
      </w:r>
    </w:p>
    <w:bookmarkEnd w:id="11"/>
    <w:bookmarkStart w:name="z156" w:id="12"/>
    <w:p>
      <w:pPr>
        <w:spacing w:after="0"/>
        <w:ind w:left="0"/>
        <w:jc w:val="both"/>
      </w:pPr>
      <w:r>
        <w:rPr>
          <w:rFonts w:ascii="Times New Roman"/>
          <w:b w:val="false"/>
          <w:i w:val="false"/>
          <w:color w:val="000000"/>
          <w:sz w:val="28"/>
        </w:rPr>
        <w:t>
      деньги на счетах в организациях-нерезидентах Республики Казахстан, предоставляющих банковские услуги организациям для осуществления операций на организованном рынке ценных бумаг;</w:t>
      </w:r>
    </w:p>
    <w:bookmarkEnd w:id="12"/>
    <w:bookmarkStart w:name="z157" w:id="13"/>
    <w:p>
      <w:pPr>
        <w:spacing w:after="0"/>
        <w:ind w:left="0"/>
        <w:jc w:val="both"/>
      </w:pPr>
      <w:r>
        <w:rPr>
          <w:rFonts w:ascii="Times New Roman"/>
          <w:b w:val="false"/>
          <w:i w:val="false"/>
          <w:color w:val="000000"/>
          <w:sz w:val="28"/>
        </w:rPr>
        <w:t>
      2) государственные ценные бумаги Республики Казахстан (включая эмитированные в соответствии с законодательством других государств);</w:t>
      </w:r>
    </w:p>
    <w:bookmarkEnd w:id="13"/>
    <w:bookmarkStart w:name="z158" w:id="14"/>
    <w:p>
      <w:pPr>
        <w:spacing w:after="0"/>
        <w:ind w:left="0"/>
        <w:jc w:val="both"/>
      </w:pPr>
      <w:r>
        <w:rPr>
          <w:rFonts w:ascii="Times New Roman"/>
          <w:b w:val="false"/>
          <w:i w:val="false"/>
          <w:color w:val="000000"/>
          <w:sz w:val="28"/>
        </w:rPr>
        <w:t>
      3) депозиты до востребования в Национальном Банке Республики Казахстан, в банках второго уровня Республики Казахстан;</w:t>
      </w:r>
    </w:p>
    <w:bookmarkEnd w:id="14"/>
    <w:bookmarkStart w:name="z159" w:id="15"/>
    <w:p>
      <w:pPr>
        <w:spacing w:after="0"/>
        <w:ind w:left="0"/>
        <w:jc w:val="both"/>
      </w:pPr>
      <w:r>
        <w:rPr>
          <w:rFonts w:ascii="Times New Roman"/>
          <w:b w:val="false"/>
          <w:i w:val="false"/>
          <w:color w:val="000000"/>
          <w:sz w:val="28"/>
        </w:rPr>
        <w:t>
      4) акции юридических лиц Республики Казахстан, имеющих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резервов на возможные потери;</w:t>
      </w:r>
    </w:p>
    <w:bookmarkEnd w:id="15"/>
    <w:bookmarkStart w:name="z160" w:id="16"/>
    <w:p>
      <w:pPr>
        <w:spacing w:after="0"/>
        <w:ind w:left="0"/>
        <w:jc w:val="both"/>
      </w:pPr>
      <w:r>
        <w:rPr>
          <w:rFonts w:ascii="Times New Roman"/>
          <w:b w:val="false"/>
          <w:i w:val="false"/>
          <w:color w:val="000000"/>
          <w:sz w:val="28"/>
        </w:rPr>
        <w:t>
      5)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категорию "долговые ценные бумаги с рейтинговой оценкой" не ниже "В" по международной шкале агентства Standard &amp; Poor’s (Стандард энд Пурс) или рейтинговой оценкой аналогичного уровня одного из других рейтинговых агентств, или рейтинговой оценкой не ниже "kzBВ" по национальной шкале Standard &amp; Poor’s (Стандард энд Пурс) (с учетом сумм основного долга и начисленного вознаграждения), за вычетом резервов на возможные потери;</w:t>
      </w:r>
    </w:p>
    <w:bookmarkEnd w:id="16"/>
    <w:bookmarkStart w:name="z161" w:id="17"/>
    <w:p>
      <w:pPr>
        <w:spacing w:after="0"/>
        <w:ind w:left="0"/>
        <w:jc w:val="both"/>
      </w:pPr>
      <w:r>
        <w:rPr>
          <w:rFonts w:ascii="Times New Roman"/>
          <w:b w:val="false"/>
          <w:i w:val="false"/>
          <w:color w:val="000000"/>
          <w:sz w:val="28"/>
        </w:rPr>
        <w:t>
      6)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17"/>
    <w:bookmarkStart w:name="z162" w:id="18"/>
    <w:p>
      <w:pPr>
        <w:spacing w:after="0"/>
        <w:ind w:left="0"/>
        <w:jc w:val="both"/>
      </w:pPr>
      <w:r>
        <w:rPr>
          <w:rFonts w:ascii="Times New Roman"/>
          <w:b w:val="false"/>
          <w:i w:val="false"/>
          <w:color w:val="000000"/>
          <w:sz w:val="28"/>
        </w:rPr>
        <w:t>
      7) негосударственные долговые ценные бумаги иностранных эмитентов, имеющие рейтинговую оценку не ниже "ВВB-" по международной шкале агентства Standard &amp; Poor’s (Стандард энд Пурс)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18"/>
    <w:bookmarkStart w:name="z163" w:id="19"/>
    <w:p>
      <w:pPr>
        <w:spacing w:after="0"/>
        <w:ind w:left="0"/>
        <w:jc w:val="both"/>
      </w:pPr>
      <w:r>
        <w:rPr>
          <w:rFonts w:ascii="Times New Roman"/>
          <w:b w:val="false"/>
          <w:i w:val="false"/>
          <w:color w:val="000000"/>
          <w:sz w:val="28"/>
        </w:rPr>
        <w:t>
      8) акции иностранных эмитентов, имеющих рейтинговую оценку не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 и депозитарные расписки, базовым активом которых являются данные акции, за вычетом резервов на возможные потери;</w:t>
      </w:r>
    </w:p>
    <w:bookmarkEnd w:id="19"/>
    <w:bookmarkStart w:name="z164" w:id="20"/>
    <w:p>
      <w:pPr>
        <w:spacing w:after="0"/>
        <w:ind w:left="0"/>
        <w:jc w:val="both"/>
      </w:pPr>
      <w:r>
        <w:rPr>
          <w:rFonts w:ascii="Times New Roman"/>
          <w:b w:val="false"/>
          <w:i w:val="false"/>
          <w:color w:val="000000"/>
          <w:sz w:val="28"/>
        </w:rPr>
        <w:t>
      9)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20"/>
    <w:bookmarkStart w:name="z165" w:id="21"/>
    <w:p>
      <w:pPr>
        <w:spacing w:after="0"/>
        <w:ind w:left="0"/>
        <w:jc w:val="both"/>
      </w:pPr>
      <w:r>
        <w:rPr>
          <w:rFonts w:ascii="Times New Roman"/>
          <w:b w:val="false"/>
          <w:i w:val="false"/>
          <w:color w:val="000000"/>
          <w:sz w:val="28"/>
        </w:rPr>
        <w:t>
      10)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21"/>
    <w:bookmarkStart w:name="z166" w:id="22"/>
    <w:p>
      <w:pPr>
        <w:spacing w:after="0"/>
        <w:ind w:left="0"/>
        <w:jc w:val="both"/>
      </w:pPr>
      <w:r>
        <w:rPr>
          <w:rFonts w:ascii="Times New Roman"/>
          <w:b w:val="false"/>
          <w:i w:val="false"/>
          <w:color w:val="000000"/>
          <w:sz w:val="28"/>
        </w:rPr>
        <w:t>
      11) аффинированные драгоценные металлы и металлические депозиты;</w:t>
      </w:r>
    </w:p>
    <w:bookmarkEnd w:id="22"/>
    <w:bookmarkStart w:name="z167" w:id="23"/>
    <w:p>
      <w:pPr>
        <w:spacing w:after="0"/>
        <w:ind w:left="0"/>
        <w:jc w:val="both"/>
      </w:pPr>
      <w:r>
        <w:rPr>
          <w:rFonts w:ascii="Times New Roman"/>
          <w:b w:val="false"/>
          <w:i w:val="false"/>
          <w:color w:val="000000"/>
          <w:sz w:val="28"/>
        </w:rPr>
        <w:t>
      12) инструменты исламского финансирования с рейтинговой оценкой ценной бумаги и (или) эмитента не ниже "B"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23"/>
    <w:bookmarkStart w:name="z168" w:id="24"/>
    <w:p>
      <w:pPr>
        <w:spacing w:after="0"/>
        <w:ind w:left="0"/>
        <w:jc w:val="both"/>
      </w:pPr>
      <w:r>
        <w:rPr>
          <w:rFonts w:ascii="Times New Roman"/>
          <w:b w:val="false"/>
          <w:i w:val="false"/>
          <w:color w:val="000000"/>
          <w:sz w:val="28"/>
        </w:rPr>
        <w:t>
      13) инструменты исламского финансирования исламского банка при соблюдении следующих условий:</w:t>
      </w:r>
    </w:p>
    <w:bookmarkEnd w:id="24"/>
    <w:bookmarkStart w:name="z169" w:id="25"/>
    <w:p>
      <w:pPr>
        <w:spacing w:after="0"/>
        <w:ind w:left="0"/>
        <w:jc w:val="both"/>
      </w:pPr>
      <w:r>
        <w:rPr>
          <w:rFonts w:ascii="Times New Roman"/>
          <w:b w:val="false"/>
          <w:i w:val="false"/>
          <w:color w:val="000000"/>
          <w:sz w:val="28"/>
        </w:rPr>
        <w:t>
      наличие у организации, являющейся крупным акционером исламского банка, рейтинговой оценки не ниже "BВ+" по международной шкале агентства Standard &amp; Poor’s (Стандард энд Пурс) или рейтинговой оценки аналогичного уровня одного из других рейтинговых агентств;</w:t>
      </w:r>
    </w:p>
    <w:bookmarkEnd w:id="25"/>
    <w:bookmarkStart w:name="z170" w:id="26"/>
    <w:p>
      <w:pPr>
        <w:spacing w:after="0"/>
        <w:ind w:left="0"/>
        <w:jc w:val="both"/>
      </w:pPr>
      <w:r>
        <w:rPr>
          <w:rFonts w:ascii="Times New Roman"/>
          <w:b w:val="false"/>
          <w:i w:val="false"/>
          <w:color w:val="000000"/>
          <w:sz w:val="28"/>
        </w:rPr>
        <w:t>
      выполнение требований по соблюдению пруденциальных нормативов, установленных для исламского банка в соответствии с банковским законодательством Республики Казахстан;</w:t>
      </w:r>
    </w:p>
    <w:bookmarkEnd w:id="26"/>
    <w:bookmarkStart w:name="z171" w:id="27"/>
    <w:p>
      <w:pPr>
        <w:spacing w:after="0"/>
        <w:ind w:left="0"/>
        <w:jc w:val="both"/>
      </w:pPr>
      <w:r>
        <w:rPr>
          <w:rFonts w:ascii="Times New Roman"/>
          <w:b w:val="false"/>
          <w:i w:val="false"/>
          <w:color w:val="000000"/>
          <w:sz w:val="28"/>
        </w:rPr>
        <w:t>
      14) ценные бумаги, являющиеся предметом операции обратного репо;</w:t>
      </w:r>
    </w:p>
    <w:bookmarkEnd w:id="27"/>
    <w:bookmarkStart w:name="z172" w:id="28"/>
    <w:p>
      <w:pPr>
        <w:spacing w:after="0"/>
        <w:ind w:left="0"/>
        <w:jc w:val="both"/>
      </w:pPr>
      <w:r>
        <w:rPr>
          <w:rFonts w:ascii="Times New Roman"/>
          <w:b w:val="false"/>
          <w:i w:val="false"/>
          <w:color w:val="000000"/>
          <w:sz w:val="28"/>
        </w:rPr>
        <w:t>
      15) дебиторская задолженность по операциям обратного репо, заключенным автоматическим способом со сроком погашения до 1 (одного) месяца;</w:t>
      </w:r>
    </w:p>
    <w:bookmarkEnd w:id="28"/>
    <w:bookmarkStart w:name="z173" w:id="29"/>
    <w:p>
      <w:pPr>
        <w:spacing w:after="0"/>
        <w:ind w:left="0"/>
        <w:jc w:val="both"/>
      </w:pPr>
      <w:r>
        <w:rPr>
          <w:rFonts w:ascii="Times New Roman"/>
          <w:b w:val="false"/>
          <w:i w:val="false"/>
          <w:color w:val="000000"/>
          <w:sz w:val="28"/>
        </w:rPr>
        <w:t>
      16) сумма требований по операциям валютный своп, учитываемых на балансовых счетах Национального оператора почты, в случае если обязательства по данным сделкам учитываются на балансовых счетах Национального оператора почты и включены в расчет требования к ликвидности Национального оператора почты.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30"/>
    <w:p>
      <w:pPr>
        <w:spacing w:after="0"/>
        <w:ind w:left="0"/>
        <w:jc w:val="both"/>
      </w:pPr>
      <w:r>
        <w:rPr>
          <w:rFonts w:ascii="Times New Roman"/>
          <w:b w:val="false"/>
          <w:i w:val="false"/>
          <w:color w:val="000000"/>
          <w:sz w:val="28"/>
        </w:rPr>
        <w:t>
      3-1. В расчет высоколиквидных активов Национального оператора почты, предусмотренных пунктом 3 настоящего постановления, не включаются:</w:t>
      </w:r>
    </w:p>
    <w:bookmarkEnd w:id="30"/>
    <w:bookmarkStart w:name="z147" w:id="31"/>
    <w:p>
      <w:pPr>
        <w:spacing w:after="0"/>
        <w:ind w:left="0"/>
        <w:jc w:val="both"/>
      </w:pPr>
      <w:r>
        <w:rPr>
          <w:rFonts w:ascii="Times New Roman"/>
          <w:b w:val="false"/>
          <w:i w:val="false"/>
          <w:color w:val="000000"/>
          <w:sz w:val="28"/>
        </w:rPr>
        <w:t>
      1) активы, являющиеся обеспечением по обязательствам Национального оператора почты и (или) на которые право собственности Национального оператора почты ограничено (за исключением операций репо);</w:t>
      </w:r>
    </w:p>
    <w:bookmarkEnd w:id="31"/>
    <w:bookmarkStart w:name="z148" w:id="32"/>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Национальному оператору почты,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Правления Агентства РК по регулированию и развитию финансового рынка от 29.06.2020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xml:space="preserve">
      4. В расчет обязательств до востребования включаются: </w:t>
      </w:r>
    </w:p>
    <w:bookmarkEnd w:id="33"/>
    <w:bookmarkStart w:name="z47" w:id="34"/>
    <w:p>
      <w:pPr>
        <w:spacing w:after="0"/>
        <w:ind w:left="0"/>
        <w:jc w:val="both"/>
      </w:pPr>
      <w:r>
        <w:rPr>
          <w:rFonts w:ascii="Times New Roman"/>
          <w:b w:val="false"/>
          <w:i w:val="false"/>
          <w:color w:val="000000"/>
          <w:sz w:val="28"/>
        </w:rPr>
        <w:t xml:space="preserve">
      1) депозиты до востребования клиентов и банков-корреспондентов; </w:t>
      </w:r>
    </w:p>
    <w:bookmarkEnd w:id="34"/>
    <w:bookmarkStart w:name="z48" w:id="35"/>
    <w:p>
      <w:pPr>
        <w:spacing w:after="0"/>
        <w:ind w:left="0"/>
        <w:jc w:val="both"/>
      </w:pPr>
      <w:r>
        <w:rPr>
          <w:rFonts w:ascii="Times New Roman"/>
          <w:b w:val="false"/>
          <w:i w:val="false"/>
          <w:color w:val="000000"/>
          <w:sz w:val="28"/>
        </w:rPr>
        <w:t xml:space="preserve">
      2) другие обязательства до востребования, в том числе обязательства по платежам и переводам денег, выдаче наличных денег, срок осуществления которых не превышает 1 (одного) месяца или по которым не установлен срок их осуществления. </w:t>
      </w:r>
    </w:p>
    <w:bookmarkEnd w:id="35"/>
    <w:bookmarkStart w:name="z49" w:id="36"/>
    <w:p>
      <w:pPr>
        <w:spacing w:after="0"/>
        <w:ind w:left="0"/>
        <w:jc w:val="both"/>
      </w:pPr>
      <w:r>
        <w:rPr>
          <w:rFonts w:ascii="Times New Roman"/>
          <w:b w:val="false"/>
          <w:i w:val="false"/>
          <w:color w:val="000000"/>
          <w:sz w:val="28"/>
        </w:rPr>
        <w:t>
      5. При наличии у Национального оператора почты в течение отчетного периода просроченных обязательств перед кредиторами и депозиторами требование к ликвидности считается невыполненным.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xml:space="preserve">
      8.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37"/>
    <w:bookmarkStart w:name="z54" w:id="38"/>
    <w:p>
      <w:pPr>
        <w:spacing w:after="0"/>
        <w:ind w:left="0"/>
        <w:jc w:val="both"/>
      </w:pPr>
      <w:r>
        <w:rPr>
          <w:rFonts w:ascii="Times New Roman"/>
          <w:b w:val="false"/>
          <w:i w:val="false"/>
          <w:color w:val="000000"/>
          <w:sz w:val="28"/>
        </w:rPr>
        <w:t>
      9. Департаменту методологии финансового рынка (Абдрахманов Н.А.) в установленном законодательством Республики Казахстан порядке обеспечить:</w:t>
      </w:r>
    </w:p>
    <w:bookmarkEnd w:id="38"/>
    <w:bookmarkStart w:name="z55" w:id="39"/>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9"/>
    <w:bookmarkStart w:name="z56" w:id="40"/>
    <w:p>
      <w:pPr>
        <w:spacing w:after="0"/>
        <w:ind w:left="0"/>
        <w:jc w:val="both"/>
      </w:pPr>
      <w:r>
        <w:rPr>
          <w:rFonts w:ascii="Times New Roman"/>
          <w:b w:val="false"/>
          <w:i w:val="false"/>
          <w:color w:val="000000"/>
          <w:sz w:val="28"/>
        </w:rPr>
        <w:t xml:space="preserve">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 </w:t>
      </w:r>
    </w:p>
    <w:bookmarkEnd w:id="40"/>
    <w:bookmarkStart w:name="z57" w:id="41"/>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1"/>
    <w:bookmarkStart w:name="z58" w:id="42"/>
    <w:p>
      <w:pPr>
        <w:spacing w:after="0"/>
        <w:ind w:left="0"/>
        <w:jc w:val="both"/>
      </w:pPr>
      <w:r>
        <w:rPr>
          <w:rFonts w:ascii="Times New Roman"/>
          <w:b w:val="false"/>
          <w:i w:val="false"/>
          <w:color w:val="000000"/>
          <w:sz w:val="28"/>
        </w:rPr>
        <w:t xml:space="preserve">
      10.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42"/>
    <w:bookmarkStart w:name="z59" w:id="43"/>
    <w:p>
      <w:pPr>
        <w:spacing w:after="0"/>
        <w:ind w:left="0"/>
        <w:jc w:val="both"/>
      </w:pPr>
      <w:r>
        <w:rPr>
          <w:rFonts w:ascii="Times New Roman"/>
          <w:b w:val="false"/>
          <w:i w:val="false"/>
          <w:color w:val="000000"/>
          <w:sz w:val="28"/>
        </w:rPr>
        <w:t>
      11.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43"/>
    <w:bookmarkStart w:name="z60" w:id="44"/>
    <w:p>
      <w:pPr>
        <w:spacing w:after="0"/>
        <w:ind w:left="0"/>
        <w:jc w:val="both"/>
      </w:pPr>
      <w:r>
        <w:rPr>
          <w:rFonts w:ascii="Times New Roman"/>
          <w:b w:val="false"/>
          <w:i w:val="false"/>
          <w:color w:val="000000"/>
          <w:sz w:val="28"/>
        </w:rPr>
        <w:t>
      12. Настоящее постановление вводится в действие по истечении десяти календарных дней после дня его первого официального опубликования.</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63" w:id="45"/>
      <w:r>
        <w:rPr>
          <w:rFonts w:ascii="Times New Roman"/>
          <w:b w:val="false"/>
          <w:i w:val="false"/>
          <w:color w:val="000000"/>
          <w:sz w:val="28"/>
        </w:rPr>
        <w:t>
      "СОГЛАСОВАНО"</w:t>
      </w:r>
    </w:p>
    <w:bookmarkEnd w:id="45"/>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Н. Айдапкелов</w:t>
      </w:r>
    </w:p>
    <w:p>
      <w:pPr>
        <w:spacing w:after="0"/>
        <w:ind w:left="0"/>
        <w:jc w:val="both"/>
      </w:pPr>
      <w:r>
        <w:rPr>
          <w:rFonts w:ascii="Times New Roman"/>
          <w:b w:val="false"/>
          <w:i w:val="false"/>
          <w:color w:val="000000"/>
          <w:sz w:val="28"/>
        </w:rPr>
        <w:t>11 января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307</w:t>
            </w:r>
          </w:p>
        </w:tc>
      </w:tr>
    </w:tbl>
    <w:bookmarkStart w:name="z118" w:id="46"/>
    <w:p>
      <w:pPr>
        <w:spacing w:after="0"/>
        <w:ind w:left="0"/>
        <w:jc w:val="left"/>
      </w:pPr>
      <w:r>
        <w:rPr>
          <w:rFonts w:ascii="Times New Roman"/>
          <w:b/>
          <w:i w:val="false"/>
          <w:color w:val="000000"/>
        </w:rPr>
        <w:t xml:space="preserve"> "Отчет о выполнении пруденциального норматива"</w:t>
      </w:r>
    </w:p>
    <w:bookmarkEnd w:id="46"/>
    <w:p>
      <w:pPr>
        <w:spacing w:after="0"/>
        <w:ind w:left="0"/>
        <w:jc w:val="both"/>
      </w:pPr>
      <w:r>
        <w:rPr>
          <w:rFonts w:ascii="Times New Roman"/>
          <w:b w:val="false"/>
          <w:i w:val="false"/>
          <w:color w:val="ff0000"/>
          <w:sz w:val="28"/>
        </w:rPr>
        <w:t xml:space="preserve">
      Сноска. Приложение 1 исключено постановлением Правления Агентства РК по регулированию и развитию финансового рынка от 13.12.2021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307</w:t>
            </w:r>
          </w:p>
        </w:tc>
      </w:tr>
    </w:tbl>
    <w:bookmarkStart w:name="z177" w:id="47"/>
    <w:p>
      <w:pPr>
        <w:spacing w:after="0"/>
        <w:ind w:left="0"/>
        <w:jc w:val="left"/>
      </w:pPr>
      <w:r>
        <w:rPr>
          <w:rFonts w:ascii="Times New Roman"/>
          <w:b/>
          <w:i w:val="false"/>
          <w:color w:val="000000"/>
        </w:rPr>
        <w:t xml:space="preserve"> Таблица активов Национального оператора почты, взвешенных по степени кредитного риска вложений</w:t>
      </w:r>
    </w:p>
    <w:bookmarkEnd w:id="47"/>
    <w:p>
      <w:pPr>
        <w:spacing w:after="0"/>
        <w:ind w:left="0"/>
        <w:jc w:val="both"/>
      </w:pPr>
      <w:r>
        <w:rPr>
          <w:rFonts w:ascii="Times New Roman"/>
          <w:b w:val="false"/>
          <w:i w:val="false"/>
          <w:color w:val="ff0000"/>
          <w:sz w:val="28"/>
        </w:rPr>
        <w:t xml:space="preserve">
      Сноска. Постановление дополнено приложением 1-1 в соответствии с постановлением Правления Агентства РК по регулированию и развитию финансового рынка от 05.05.2023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w:t>
            </w:r>
            <w:r>
              <w:br/>
            </w:r>
            <w:r>
              <w:rPr>
                <w:rFonts w:ascii="Times New Roman"/>
                <w:b w:val="false"/>
                <w:i w:val="false"/>
                <w:color w:val="000000"/>
                <w:sz w:val="20"/>
              </w:rPr>
              <w:t>Национального оператора почты,</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p>
      <w:pPr>
        <w:spacing w:after="0"/>
        <w:ind w:left="0"/>
        <w:jc w:val="left"/>
      </w:pPr>
      <w:r>
        <w:rPr>
          <w:rFonts w:ascii="Times New Roman"/>
          <w:b/>
          <w:i w:val="false"/>
          <w:color w:val="000000"/>
        </w:rPr>
        <w:t xml:space="preserve"> Пояснения к расчету активов Национального оператора почты, подлежащих взвешиванию по степени кредитного риска вложений</w:t>
      </w:r>
    </w:p>
    <w:p>
      <w:pPr>
        <w:spacing w:after="0"/>
        <w:ind w:left="0"/>
        <w:jc w:val="both"/>
      </w:pPr>
      <w:r>
        <w:rPr>
          <w:rFonts w:ascii="Times New Roman"/>
          <w:b w:val="false"/>
          <w:i w:val="false"/>
          <w:color w:val="000000"/>
          <w:sz w:val="28"/>
        </w:rPr>
        <w:t>
      1. Вклады, дебиторская задолженность, приобретенные ценные бумаги, по которым у Национального оператора почты имеется обеспечение (в виде активов, указанных в строках 1, 2, 3, 4, 5, 6, 7, 8, 9, 10, 11 и 12 Таблицы активов Национального оператора почты,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у Национального оператора почты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7, 8, 9, 10, 11 и 12 Таблицы) равняется:</w:t>
      </w:r>
    </w:p>
    <w:p>
      <w:pPr>
        <w:spacing w:after="0"/>
        <w:ind w:left="0"/>
        <w:jc w:val="both"/>
      </w:pPr>
      <w:r>
        <w:rPr>
          <w:rFonts w:ascii="Times New Roman"/>
          <w:b w:val="false"/>
          <w:i w:val="false"/>
          <w:color w:val="000000"/>
          <w:sz w:val="28"/>
        </w:rPr>
        <w:t>
      100 (ста) процентам суммы вкладов, в том числе у Национального оператора почты, предоставленных в качестве обеспечения;</w:t>
      </w:r>
    </w:p>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p>
      <w:pPr>
        <w:spacing w:after="0"/>
        <w:ind w:left="0"/>
        <w:jc w:val="both"/>
      </w:pPr>
      <w:r>
        <w:rPr>
          <w:rFonts w:ascii="Times New Roman"/>
          <w:b w:val="false"/>
          <w:i w:val="false"/>
          <w:color w:val="000000"/>
          <w:sz w:val="28"/>
        </w:rPr>
        <w:t>
      2. Вклады, дебиторская задолженность, приобретенные ценные бумаги,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инвестиций, не включенных в расчет инвестиций Национального оператора почты) по степени риска должника.</w:t>
      </w:r>
    </w:p>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инвестиций, не включенных в расчет инвестиций национального оператора почты, взвешивается по степени риска дебиторской задолженности соответствующего гаранта (страховщика).</w:t>
      </w:r>
    </w:p>
    <w:p>
      <w:pPr>
        <w:spacing w:after="0"/>
        <w:ind w:left="0"/>
        <w:jc w:val="both"/>
      </w:pPr>
      <w:r>
        <w:rPr>
          <w:rFonts w:ascii="Times New Roman"/>
          <w:b w:val="false"/>
          <w:i w:val="false"/>
          <w:color w:val="000000"/>
          <w:sz w:val="28"/>
        </w:rPr>
        <w:t>
      3. Если ценная бумага имеет специальный долговой рейтинг выпуска, то при взвешивании активов Национального оператора почты по степени риска необходимо учитывать рейтинг ценной бумаги.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307</w:t>
            </w:r>
          </w:p>
        </w:tc>
      </w:tr>
    </w:tbl>
    <w:bookmarkStart w:name="z106" w:id="48"/>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48"/>
    <w:bookmarkStart w:name="z107"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июля 2004 года № 200 "Об установлении пруденциальных нормативов для Национального оператора почты, а также форм и сроков представления отчетов об их выполнении" (зарегистрированное в Реестре государственной регистрации нормативных правовых актов под № 2988, опубликованное 15 сентября 2005 года в газете "Юридическая газета" № 169).</w:t>
      </w:r>
    </w:p>
    <w:bookmarkEnd w:id="49"/>
    <w:bookmarkStart w:name="z108"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Правления Агентства Республики Казахстан по регулированию и надзору финансового рынка и финансовых организаций от 24 декабря 2007 года № 280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ипотечных организаций, организаций, осуществляющих отдельные виды банковских операций" (зарегистрированного в Реестре государственной регистрации нормативных правовых актов под № 5122).</w:t>
      </w:r>
    </w:p>
    <w:bookmarkEnd w:id="50"/>
    <w:bookmarkStart w:name="z109"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124 "О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12 июля 2004 года № 200 "Об установлении пруденциальных нормативов для Национального оператора почты, а также форм и сроков предоставления отчетов об их выполнении" (зарегистрированное в Реестре государственной регистрации нормативных правовых актов под № 5313, опубликованное 15 октября 2008 года в Собрании актов центральных исполнительных и иных центральных государственных органов Республики Казахстан №10).</w:t>
      </w:r>
    </w:p>
    <w:bookmarkEnd w:id="51"/>
    <w:bookmarkStart w:name="z110" w:id="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регулирования и надзора финансового рынка и финансовых организаций, утвержденного постановлением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6554).</w:t>
      </w:r>
    </w:p>
    <w:bookmarkEnd w:id="52"/>
    <w:bookmarkStart w:name="z111" w:id="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деятельности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152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финансовых организаций" (зарегистрированным в Реестре государственной регистрации нормативных правовых актов под № 9732, опубликованным 18 сентября 2014 года в информационно-правовой системе "Әділет").</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