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95bfe" w14:textId="2095b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по инвестициям и развитию Республики Казахстан от 9 декабря 2015 года № 1187 "Об утверждении Правил проверки подлинности электронной цифровой подписи"</w:t>
      </w:r>
    </w:p>
    <w:p>
      <w:pPr>
        <w:spacing w:after="0"/>
        <w:ind w:left="0"/>
        <w:jc w:val="both"/>
      </w:pPr>
      <w:r>
        <w:rPr>
          <w:rFonts w:ascii="Times New Roman"/>
          <w:b w:val="false"/>
          <w:i w:val="false"/>
          <w:color w:val="000000"/>
          <w:sz w:val="28"/>
        </w:rPr>
        <w:t>Приказ Министра информации и коммуникаций Республики Казахстан от 30 декабря 2016 года № 316. Зарегистрирован в Министерстве юстиции Республики Казахстан 2 февраля 2017 года № 14759.</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9 декабря 2015 года № 1187 "Об утверждении Правил проверки подлинности электронной цифровой подписи" (зарегистрированный в Реестре государственной регистрации нормативных правовых актов за № 12864, опубликованный 26 января 2016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проверки подлинности электронной цифровой подписи,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6" w:id="2"/>
    <w:p>
      <w:pPr>
        <w:spacing w:after="0"/>
        <w:ind w:left="0"/>
        <w:jc w:val="both"/>
      </w:pPr>
      <w:r>
        <w:rPr>
          <w:rFonts w:ascii="Times New Roman"/>
          <w:b w:val="false"/>
          <w:i w:val="false"/>
          <w:color w:val="000000"/>
          <w:sz w:val="28"/>
        </w:rPr>
        <w:t>
      2. Департаменту информатизации Министерства информации и коммуникаций Республики Казахстан (Жахметова Ж.З.)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направление копии настоящего приказа на официальное опубликование в периодические печатные издания в течение десяти календарных дней после дня его государственной регистрации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Эталонном контрольном банке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информации и коммуникаций Республики Казахстан;</w:t>
      </w:r>
    </w:p>
    <w:bookmarkEnd w:id="6"/>
    <w:bookmarkStart w:name="z11"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коммуникаций Республики Казахстан сведений об исполнении мероприятий, предусмотренных подпунктами 1), 2), и 3)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информации и коммуникаций Республики Казахстан (Сарсенова С. С.).</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Министр</w:t>
            </w:r>
            <w:r>
              <w:br/>
            </w:r>
            <w:r>
              <w:rPr>
                <w:rFonts w:ascii="Times New Roman"/>
                <w:b w:val="false"/>
                <w:i/>
                <w:color w:val="000000"/>
                <w:sz w:val="20"/>
              </w:rPr>
              <w:t>информации и коммуникаций</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информации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2016 года № 316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2015 года № 1187</w:t>
            </w:r>
          </w:p>
        </w:tc>
      </w:tr>
    </w:tbl>
    <w:bookmarkStart w:name="z17" w:id="10"/>
    <w:p>
      <w:pPr>
        <w:spacing w:after="0"/>
        <w:ind w:left="0"/>
        <w:jc w:val="left"/>
      </w:pPr>
      <w:r>
        <w:rPr>
          <w:rFonts w:ascii="Times New Roman"/>
          <w:b/>
          <w:i w:val="false"/>
          <w:color w:val="000000"/>
        </w:rPr>
        <w:t xml:space="preserve"> Правила проверки подлинности электронной цифровой подписи</w:t>
      </w:r>
    </w:p>
    <w:bookmarkEnd w:id="10"/>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xml:space="preserve">
      1. Настоящие Правила проверки подлинности электронной цифровой подписи (далее – Правила) разработаны в соответствии с подпунктом 10)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7 января 2003 года "Об электронном документе и электронной цифровой подписи" (далее – Закон) и определяют порядок проверки подлинности электронной цифровой подписи информационной системой на этапе создания и функционирования информационной системы.</w:t>
      </w:r>
    </w:p>
    <w:bookmarkEnd w:id="12"/>
    <w:bookmarkStart w:name="z20" w:id="13"/>
    <w:p>
      <w:pPr>
        <w:spacing w:after="0"/>
        <w:ind w:left="0"/>
        <w:jc w:val="both"/>
      </w:pPr>
      <w:r>
        <w:rPr>
          <w:rFonts w:ascii="Times New Roman"/>
          <w:b w:val="false"/>
          <w:i w:val="false"/>
          <w:color w:val="000000"/>
          <w:sz w:val="28"/>
        </w:rPr>
        <w:t>
      2. В настоящих Правилах применяются следующие понятия:</w:t>
      </w:r>
    </w:p>
    <w:bookmarkEnd w:id="13"/>
    <w:bookmarkStart w:name="z21" w:id="14"/>
    <w:p>
      <w:pPr>
        <w:spacing w:after="0"/>
        <w:ind w:left="0"/>
        <w:jc w:val="both"/>
      </w:pPr>
      <w:r>
        <w:rPr>
          <w:rFonts w:ascii="Times New Roman"/>
          <w:b w:val="false"/>
          <w:i w:val="false"/>
          <w:color w:val="000000"/>
          <w:sz w:val="28"/>
        </w:rPr>
        <w:t>
      1) средство криптографической защиты информации (далее – СКЗИ) – средство, реализующее алгоритмы криптографических преобразований, генерацию, формирование, распределение или управление ключами;</w:t>
      </w:r>
    </w:p>
    <w:bookmarkEnd w:id="14"/>
    <w:bookmarkStart w:name="z22" w:id="15"/>
    <w:p>
      <w:pPr>
        <w:spacing w:after="0"/>
        <w:ind w:left="0"/>
        <w:jc w:val="both"/>
      </w:pPr>
      <w:r>
        <w:rPr>
          <w:rFonts w:ascii="Times New Roman"/>
          <w:b w:val="false"/>
          <w:i w:val="false"/>
          <w:color w:val="000000"/>
          <w:sz w:val="28"/>
        </w:rPr>
        <w:t>
      2) список отозванных регистрационных свидетельств (далее – СОРС) – часть регистра регистрационных свидетельств, содержащая сведения о регистрационных свидетельствах, действие которых прекращено, их серийные номера, дату и причину отзыва (аннулирования);</w:t>
      </w:r>
    </w:p>
    <w:bookmarkEnd w:id="15"/>
    <w:bookmarkStart w:name="z23" w:id="16"/>
    <w:p>
      <w:pPr>
        <w:spacing w:after="0"/>
        <w:ind w:left="0"/>
        <w:jc w:val="both"/>
      </w:pPr>
      <w:r>
        <w:rPr>
          <w:rFonts w:ascii="Times New Roman"/>
          <w:b w:val="false"/>
          <w:i w:val="false"/>
          <w:color w:val="000000"/>
          <w:sz w:val="28"/>
        </w:rPr>
        <w:t>
      3) удостоверяющий центр – юридическое лицо, удостоверяющее соответствие открытого ключа электронной цифровой подписи закрытому ключу электронной цифровой подписи, а также подтверждающее достоверность регистрационного свидетельства;</w:t>
      </w:r>
    </w:p>
    <w:bookmarkEnd w:id="16"/>
    <w:bookmarkStart w:name="z24" w:id="17"/>
    <w:p>
      <w:pPr>
        <w:spacing w:after="0"/>
        <w:ind w:left="0"/>
        <w:jc w:val="both"/>
      </w:pPr>
      <w:r>
        <w:rPr>
          <w:rFonts w:ascii="Times New Roman"/>
          <w:b w:val="false"/>
          <w:i w:val="false"/>
          <w:color w:val="000000"/>
          <w:sz w:val="28"/>
        </w:rPr>
        <w:t xml:space="preserve">
      4) регистрационное свидетельство – документ на бумажном носителе или электронный документ, выдаваемый удостоверяющим центром для подтверждения соответствия электронной цифровой подписи требованиям, установленным </w:t>
      </w:r>
      <w:r>
        <w:rPr>
          <w:rFonts w:ascii="Times New Roman"/>
          <w:b w:val="false"/>
          <w:i w:val="false"/>
          <w:color w:val="000000"/>
          <w:sz w:val="28"/>
        </w:rPr>
        <w:t>Законом</w:t>
      </w:r>
      <w:r>
        <w:rPr>
          <w:rFonts w:ascii="Times New Roman"/>
          <w:b w:val="false"/>
          <w:i w:val="false"/>
          <w:color w:val="000000"/>
          <w:sz w:val="28"/>
        </w:rPr>
        <w:t>;</w:t>
      </w:r>
    </w:p>
    <w:bookmarkEnd w:id="17"/>
    <w:bookmarkStart w:name="z25" w:id="18"/>
    <w:p>
      <w:pPr>
        <w:spacing w:after="0"/>
        <w:ind w:left="0"/>
        <w:jc w:val="both"/>
      </w:pPr>
      <w:r>
        <w:rPr>
          <w:rFonts w:ascii="Times New Roman"/>
          <w:b w:val="false"/>
          <w:i w:val="false"/>
          <w:color w:val="000000"/>
          <w:sz w:val="28"/>
        </w:rPr>
        <w:t>
      5)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18"/>
    <w:bookmarkStart w:name="z26" w:id="19"/>
    <w:p>
      <w:pPr>
        <w:spacing w:after="0"/>
        <w:ind w:left="0"/>
        <w:jc w:val="both"/>
      </w:pPr>
      <w:r>
        <w:rPr>
          <w:rFonts w:ascii="Times New Roman"/>
          <w:b w:val="false"/>
          <w:i w:val="false"/>
          <w:color w:val="000000"/>
          <w:sz w:val="28"/>
        </w:rPr>
        <w:t>
      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9"/>
    <w:bookmarkStart w:name="z27" w:id="20"/>
    <w:p>
      <w:pPr>
        <w:spacing w:after="0"/>
        <w:ind w:left="0"/>
        <w:jc w:val="both"/>
      </w:pPr>
      <w:r>
        <w:rPr>
          <w:rFonts w:ascii="Times New Roman"/>
          <w:b w:val="false"/>
          <w:i w:val="false"/>
          <w:color w:val="000000"/>
          <w:sz w:val="28"/>
        </w:rPr>
        <w:t>
      7) средства ЭЦП – совокупность программных и технических средств, используемых для создания и проверки подлинности электронной цифровой подписи;</w:t>
      </w:r>
    </w:p>
    <w:bookmarkEnd w:id="20"/>
    <w:bookmarkStart w:name="z28" w:id="21"/>
    <w:p>
      <w:pPr>
        <w:spacing w:after="0"/>
        <w:ind w:left="0"/>
        <w:jc w:val="both"/>
      </w:pPr>
      <w:r>
        <w:rPr>
          <w:rFonts w:ascii="Times New Roman"/>
          <w:b w:val="false"/>
          <w:i w:val="false"/>
          <w:color w:val="000000"/>
          <w:sz w:val="28"/>
        </w:rPr>
        <w:t>
      8) хеш - преобразование массива входных данных произвольной длины в битовую сторону фиксированной длины;</w:t>
      </w:r>
    </w:p>
    <w:bookmarkEnd w:id="21"/>
    <w:bookmarkStart w:name="z29" w:id="22"/>
    <w:p>
      <w:pPr>
        <w:spacing w:after="0"/>
        <w:ind w:left="0"/>
        <w:jc w:val="both"/>
      </w:pPr>
      <w:r>
        <w:rPr>
          <w:rFonts w:ascii="Times New Roman"/>
          <w:b w:val="false"/>
          <w:i w:val="false"/>
          <w:color w:val="000000"/>
          <w:sz w:val="28"/>
        </w:rPr>
        <w:t>
      9) хеш-функция - функция отображения последовательности байт в последовательность байт фиксированного размера.</w:t>
      </w:r>
    </w:p>
    <w:bookmarkEnd w:id="22"/>
    <w:bookmarkStart w:name="z30" w:id="23"/>
    <w:p>
      <w:pPr>
        <w:spacing w:after="0"/>
        <w:ind w:left="0"/>
        <w:jc w:val="left"/>
      </w:pPr>
      <w:r>
        <w:rPr>
          <w:rFonts w:ascii="Times New Roman"/>
          <w:b/>
          <w:i w:val="false"/>
          <w:color w:val="000000"/>
        </w:rPr>
        <w:t xml:space="preserve"> Глава 2. Порядок проверки подлинности электронной цифровой подписи</w:t>
      </w:r>
    </w:p>
    <w:bookmarkEnd w:id="23"/>
    <w:bookmarkStart w:name="z31" w:id="24"/>
    <w:p>
      <w:pPr>
        <w:spacing w:after="0"/>
        <w:ind w:left="0"/>
        <w:jc w:val="both"/>
      </w:pPr>
      <w:r>
        <w:rPr>
          <w:rFonts w:ascii="Times New Roman"/>
          <w:b w:val="false"/>
          <w:i w:val="false"/>
          <w:color w:val="000000"/>
          <w:sz w:val="28"/>
        </w:rPr>
        <w:t>
      3. На этапе создания и функционирования информационной системы, при получении электронного документа, содержащего регистрационное свидетельство подписывающей стороны, в информационной системе реализуется функционал проверки подлинности ЭЦП, осуществляющий следующие проверки:</w:t>
      </w:r>
    </w:p>
    <w:bookmarkEnd w:id="24"/>
    <w:bookmarkStart w:name="z32" w:id="25"/>
    <w:p>
      <w:pPr>
        <w:spacing w:after="0"/>
        <w:ind w:left="0"/>
        <w:jc w:val="both"/>
      </w:pPr>
      <w:r>
        <w:rPr>
          <w:rFonts w:ascii="Times New Roman"/>
          <w:b w:val="false"/>
          <w:i w:val="false"/>
          <w:color w:val="000000"/>
          <w:sz w:val="28"/>
        </w:rPr>
        <w:t>
      1) проверку ЭЦП в электронном документе;</w:t>
      </w:r>
    </w:p>
    <w:bookmarkEnd w:id="25"/>
    <w:bookmarkStart w:name="z33" w:id="26"/>
    <w:p>
      <w:pPr>
        <w:spacing w:after="0"/>
        <w:ind w:left="0"/>
        <w:jc w:val="both"/>
      </w:pPr>
      <w:r>
        <w:rPr>
          <w:rFonts w:ascii="Times New Roman"/>
          <w:b w:val="false"/>
          <w:i w:val="false"/>
          <w:color w:val="000000"/>
          <w:sz w:val="28"/>
        </w:rPr>
        <w:t>
      2) проверку регистрационного свидетельства подписывающей стороны.</w:t>
      </w:r>
    </w:p>
    <w:bookmarkEnd w:id="26"/>
    <w:bookmarkStart w:name="z34" w:id="27"/>
    <w:p>
      <w:pPr>
        <w:spacing w:after="0"/>
        <w:ind w:left="0"/>
        <w:jc w:val="both"/>
      </w:pPr>
      <w:r>
        <w:rPr>
          <w:rFonts w:ascii="Times New Roman"/>
          <w:b w:val="false"/>
          <w:i w:val="false"/>
          <w:color w:val="000000"/>
          <w:sz w:val="28"/>
        </w:rPr>
        <w:t>
      4. Информационная система проверяет ЭЦП на электронном документе, путем использования открытого ключа ЭЦП, который содержится в регистрационном свидетельстве подписывающей стороны. Электронный документ должен содержать регистрационное свидетельство подписывающей стороны.</w:t>
      </w:r>
    </w:p>
    <w:bookmarkEnd w:id="27"/>
    <w:bookmarkStart w:name="z35" w:id="28"/>
    <w:p>
      <w:pPr>
        <w:spacing w:after="0"/>
        <w:ind w:left="0"/>
        <w:jc w:val="both"/>
      </w:pPr>
      <w:r>
        <w:rPr>
          <w:rFonts w:ascii="Times New Roman"/>
          <w:b w:val="false"/>
          <w:i w:val="false"/>
          <w:color w:val="000000"/>
          <w:sz w:val="28"/>
        </w:rPr>
        <w:t>
      5. Проверка ЭЦП осуществляется в обратном порядке, по которому производилась подпись документа, по следующей схеме:</w:t>
      </w:r>
    </w:p>
    <w:bookmarkEnd w:id="28"/>
    <w:bookmarkStart w:name="z36" w:id="29"/>
    <w:p>
      <w:pPr>
        <w:spacing w:after="0"/>
        <w:ind w:left="0"/>
        <w:jc w:val="both"/>
      </w:pPr>
      <w:r>
        <w:rPr>
          <w:rFonts w:ascii="Times New Roman"/>
          <w:b w:val="false"/>
          <w:i w:val="false"/>
          <w:color w:val="000000"/>
          <w:sz w:val="28"/>
        </w:rPr>
        <w:t>
      1) с помощью открытого ключа ЭЦП отправителя дешифруется хэш сообщения (подпись отправителя);</w:t>
      </w:r>
    </w:p>
    <w:bookmarkEnd w:id="29"/>
    <w:bookmarkStart w:name="z37" w:id="30"/>
    <w:p>
      <w:pPr>
        <w:spacing w:after="0"/>
        <w:ind w:left="0"/>
        <w:jc w:val="both"/>
      </w:pPr>
      <w:r>
        <w:rPr>
          <w:rFonts w:ascii="Times New Roman"/>
          <w:b w:val="false"/>
          <w:i w:val="false"/>
          <w:color w:val="000000"/>
          <w:sz w:val="28"/>
        </w:rPr>
        <w:t>
      2) с помощью хэш-функции вычисляется контрольная сумма оригинального сообщения.</w:t>
      </w:r>
    </w:p>
    <w:bookmarkEnd w:id="30"/>
    <w:bookmarkStart w:name="z38" w:id="31"/>
    <w:p>
      <w:pPr>
        <w:spacing w:after="0"/>
        <w:ind w:left="0"/>
        <w:jc w:val="both"/>
      </w:pPr>
      <w:r>
        <w:rPr>
          <w:rFonts w:ascii="Times New Roman"/>
          <w:b w:val="false"/>
          <w:i w:val="false"/>
          <w:color w:val="000000"/>
          <w:sz w:val="28"/>
        </w:rPr>
        <w:t>
      На данном этапе производится сверка двух контрольных сумм, если они равны, то ЭЦП считается верной (определен положительный результат проверки ЭЦП), если не равны, то ЭЦП считается не действительной (определен отрицательный результат проверки ЭЦП).</w:t>
      </w:r>
    </w:p>
    <w:bookmarkEnd w:id="31"/>
    <w:bookmarkStart w:name="z39" w:id="32"/>
    <w:p>
      <w:pPr>
        <w:spacing w:after="0"/>
        <w:ind w:left="0"/>
        <w:jc w:val="both"/>
      </w:pPr>
      <w:r>
        <w:rPr>
          <w:rFonts w:ascii="Times New Roman"/>
          <w:b w:val="false"/>
          <w:i w:val="false"/>
          <w:color w:val="000000"/>
          <w:sz w:val="28"/>
        </w:rPr>
        <w:t xml:space="preserve">
      6. Информационная система в случае, если определен положительный результат проверки ЭЦП проверяет регистрационные свидетельства подписывающей стороны путем выполнения следующих проверок с использованием СКЗИ и средств ЭЦП удостоверяющего центра: </w:t>
      </w:r>
    </w:p>
    <w:bookmarkEnd w:id="32"/>
    <w:bookmarkStart w:name="z40" w:id="33"/>
    <w:p>
      <w:pPr>
        <w:spacing w:after="0"/>
        <w:ind w:left="0"/>
        <w:jc w:val="both"/>
      </w:pPr>
      <w:r>
        <w:rPr>
          <w:rFonts w:ascii="Times New Roman"/>
          <w:b w:val="false"/>
          <w:i w:val="false"/>
          <w:color w:val="000000"/>
          <w:sz w:val="28"/>
        </w:rPr>
        <w:t>
      1) проверка срока действия регистрационного свидетельства. Проверка сроков действия от проверяемого регистрационного свидетельства до доверенного корневого регистрационного свидетельства удостоверяющего центра, с учетом промежуточных регистрационных свидетельств удостоверяющих центров;</w:t>
      </w:r>
    </w:p>
    <w:bookmarkEnd w:id="33"/>
    <w:bookmarkStart w:name="z41" w:id="34"/>
    <w:p>
      <w:pPr>
        <w:spacing w:after="0"/>
        <w:ind w:left="0"/>
        <w:jc w:val="both"/>
      </w:pPr>
      <w:r>
        <w:rPr>
          <w:rFonts w:ascii="Times New Roman"/>
          <w:b w:val="false"/>
          <w:i w:val="false"/>
          <w:color w:val="000000"/>
          <w:sz w:val="28"/>
        </w:rPr>
        <w:t>
      2) проверка регистрационного свидетельства на отозванность (аннулирование). Проверка регистрационного свидетельства на отозванность (аннулирование) осуществляется одним из следующих методов:</w:t>
      </w:r>
    </w:p>
    <w:bookmarkEnd w:id="34"/>
    <w:bookmarkStart w:name="z42" w:id="35"/>
    <w:p>
      <w:pPr>
        <w:spacing w:after="0"/>
        <w:ind w:left="0"/>
        <w:jc w:val="both"/>
      </w:pPr>
      <w:r>
        <w:rPr>
          <w:rFonts w:ascii="Times New Roman"/>
          <w:b w:val="false"/>
          <w:i w:val="false"/>
          <w:color w:val="000000"/>
          <w:sz w:val="28"/>
        </w:rPr>
        <w:t>
      на основе СОРС удостоверяющего центра. Данный метод проверки подтверждает, аннулировано ли проверяемое регистрационное свидетельство на момент начала срока действия СОРС удостоверяющего центра;</w:t>
      </w:r>
    </w:p>
    <w:bookmarkEnd w:id="35"/>
    <w:bookmarkStart w:name="z43" w:id="36"/>
    <w:p>
      <w:pPr>
        <w:spacing w:after="0"/>
        <w:ind w:left="0"/>
        <w:jc w:val="both"/>
      </w:pPr>
      <w:r>
        <w:rPr>
          <w:rFonts w:ascii="Times New Roman"/>
          <w:b w:val="false"/>
          <w:i w:val="false"/>
          <w:color w:val="000000"/>
          <w:sz w:val="28"/>
        </w:rPr>
        <w:t>
      онлайн проверка регистрационного свидетельства на аннулирование, основанная на протоколе On-line Certificate Status Protocol (далее – OCSP). Данный метод проверки подтверждает аннулировано ли проверяемое регистрационное свидетельство на момент формирования квитанции OCSP;</w:t>
      </w:r>
    </w:p>
    <w:bookmarkEnd w:id="36"/>
    <w:bookmarkStart w:name="z44" w:id="37"/>
    <w:p>
      <w:pPr>
        <w:spacing w:after="0"/>
        <w:ind w:left="0"/>
        <w:jc w:val="both"/>
      </w:pPr>
      <w:r>
        <w:rPr>
          <w:rFonts w:ascii="Times New Roman"/>
          <w:b w:val="false"/>
          <w:i w:val="false"/>
          <w:color w:val="000000"/>
          <w:sz w:val="28"/>
        </w:rPr>
        <w:t>
      на основе дополнительного СОРС. Данный сервис используется совместно с сервисом СОРС. Данный метод проверки подтверждает, аннулировано ли проверяемое регистрационное свидетельство на момент начала срока действия дополнительного СОРС удостоверяющего центра;</w:t>
      </w:r>
    </w:p>
    <w:bookmarkEnd w:id="37"/>
    <w:bookmarkStart w:name="z45" w:id="38"/>
    <w:p>
      <w:pPr>
        <w:spacing w:after="0"/>
        <w:ind w:left="0"/>
        <w:jc w:val="both"/>
      </w:pPr>
      <w:r>
        <w:rPr>
          <w:rFonts w:ascii="Times New Roman"/>
          <w:b w:val="false"/>
          <w:i w:val="false"/>
          <w:color w:val="000000"/>
          <w:sz w:val="28"/>
        </w:rPr>
        <w:t>
      3) проверка области использования ЭЦП регистрационного свидетельства. Проверка заключается в проверке значения поля регистрационного свидетельства "использование ключа" (KeyUsage). Значения "Цифровая подпись" и "Неотрекаемость", содержащиеся в поле "использование ключа", означают что, это регистрационное свидетельство используется для ЭЦП. Значения "Цифровая подпись" и "Шифрование ключей", содержащиеся в поле "использование ключа", означают что, это регистрационное свидетельство используется для аутентификации;</w:t>
      </w:r>
    </w:p>
    <w:bookmarkEnd w:id="38"/>
    <w:bookmarkStart w:name="z46" w:id="39"/>
    <w:p>
      <w:pPr>
        <w:spacing w:after="0"/>
        <w:ind w:left="0"/>
        <w:jc w:val="both"/>
      </w:pPr>
      <w:r>
        <w:rPr>
          <w:rFonts w:ascii="Times New Roman"/>
          <w:b w:val="false"/>
          <w:i w:val="false"/>
          <w:color w:val="000000"/>
          <w:sz w:val="28"/>
        </w:rPr>
        <w:t>
      4) проверка номера политики регистрационного свидетельства и разрешенных способах его использования. Политика проверяемого регистрационного свидетельства содержит разрешенные и запрещенные способы использования регистрационного свидетельства (например: регистрационное свидетельство используется в информационной системе "Казначейство-клиент"), это означает, что данное регистрационное свидетельство не может использоваться в других информационных системах, за исключением информационной системы "Казначейство-клиент";</w:t>
      </w:r>
    </w:p>
    <w:bookmarkEnd w:id="39"/>
    <w:bookmarkStart w:name="z47" w:id="40"/>
    <w:p>
      <w:pPr>
        <w:spacing w:after="0"/>
        <w:ind w:left="0"/>
        <w:jc w:val="both"/>
      </w:pPr>
      <w:r>
        <w:rPr>
          <w:rFonts w:ascii="Times New Roman"/>
          <w:b w:val="false"/>
          <w:i w:val="false"/>
          <w:color w:val="000000"/>
          <w:sz w:val="28"/>
        </w:rPr>
        <w:t>
      5) проверка построения корректной цепочки от проверяемого регистрационного свидетельства до доверенного корневого регистрационного свидетельства удостоверяющего центра, с учетом промежуточных регистрационных свидетельств удостоверяющих центров;</w:t>
      </w:r>
    </w:p>
    <w:bookmarkEnd w:id="40"/>
    <w:bookmarkStart w:name="z48" w:id="41"/>
    <w:p>
      <w:pPr>
        <w:spacing w:after="0"/>
        <w:ind w:left="0"/>
        <w:jc w:val="both"/>
      </w:pPr>
      <w:r>
        <w:rPr>
          <w:rFonts w:ascii="Times New Roman"/>
          <w:b w:val="false"/>
          <w:i w:val="false"/>
          <w:color w:val="000000"/>
          <w:sz w:val="28"/>
        </w:rPr>
        <w:t>
      6) проверка метки времени. Проверка квитанции метки времени осуществляется для электронных документов долговременного хранения. Квитанция метки времени формируется в момент подписания электронного документа при определении положительного результата проверки ЭЦП, тем самым являясь доказательством подписания документа в указанный момент времени.</w:t>
      </w:r>
    </w:p>
    <w:bookmarkEnd w:id="41"/>
    <w:bookmarkStart w:name="z49" w:id="42"/>
    <w:p>
      <w:pPr>
        <w:spacing w:after="0"/>
        <w:ind w:left="0"/>
        <w:jc w:val="both"/>
      </w:pPr>
      <w:r>
        <w:rPr>
          <w:rFonts w:ascii="Times New Roman"/>
          <w:b w:val="false"/>
          <w:i w:val="false"/>
          <w:color w:val="000000"/>
          <w:sz w:val="28"/>
        </w:rPr>
        <w:t>
      Метка времени является доказательством наличия ЭЦП в указанный в квитанции момент времени;</w:t>
      </w:r>
    </w:p>
    <w:bookmarkEnd w:id="42"/>
    <w:bookmarkStart w:name="z50" w:id="43"/>
    <w:p>
      <w:pPr>
        <w:spacing w:after="0"/>
        <w:ind w:left="0"/>
        <w:jc w:val="both"/>
      </w:pPr>
      <w:r>
        <w:rPr>
          <w:rFonts w:ascii="Times New Roman"/>
          <w:b w:val="false"/>
          <w:i w:val="false"/>
          <w:color w:val="000000"/>
          <w:sz w:val="28"/>
        </w:rPr>
        <w:t>
      7) проверка полномочий лица подписавшего документ. Механизмы проверки полномочий осуществляются информационной системой. Проверка полномочий осуществляется при наличии информации об этом в регистрационном свидетельстве.</w:t>
      </w:r>
    </w:p>
    <w:bookmarkEnd w:id="43"/>
    <w:bookmarkStart w:name="z51" w:id="44"/>
    <w:p>
      <w:pPr>
        <w:spacing w:after="0"/>
        <w:ind w:left="0"/>
        <w:jc w:val="both"/>
      </w:pPr>
      <w:r>
        <w:rPr>
          <w:rFonts w:ascii="Times New Roman"/>
          <w:b w:val="false"/>
          <w:i w:val="false"/>
          <w:color w:val="000000"/>
          <w:sz w:val="28"/>
        </w:rPr>
        <w:t>
      При несоответствии ЭЦП или регистрационного свидетельства требованиям одной из вышеуказанных проверок, за исключением подпункта 6) и 7) настоящего пункта, ЭЦП или регистрационное свидетельство считается недействительным (определен отрицательный результат проверки ЭЦП и регистрационного свидетельства).</w:t>
      </w:r>
    </w:p>
    <w:bookmarkEnd w:id="44"/>
    <w:bookmarkStart w:name="z52" w:id="45"/>
    <w:p>
      <w:pPr>
        <w:spacing w:after="0"/>
        <w:ind w:left="0"/>
        <w:jc w:val="both"/>
      </w:pPr>
      <w:r>
        <w:rPr>
          <w:rFonts w:ascii="Times New Roman"/>
          <w:b w:val="false"/>
          <w:i w:val="false"/>
          <w:color w:val="000000"/>
          <w:sz w:val="28"/>
        </w:rPr>
        <w:t>
      7. Техническая реализация проверки подлинности ЭЦП и регистрационного свидетельства возлагается на информационную систему.</w:t>
      </w:r>
    </w:p>
    <w:bookmarkEnd w:id="45"/>
    <w:bookmarkStart w:name="z53" w:id="46"/>
    <w:p>
      <w:pPr>
        <w:spacing w:after="0"/>
        <w:ind w:left="0"/>
        <w:jc w:val="both"/>
      </w:pPr>
      <w:r>
        <w:rPr>
          <w:rFonts w:ascii="Times New Roman"/>
          <w:b w:val="false"/>
          <w:i w:val="false"/>
          <w:color w:val="000000"/>
          <w:sz w:val="28"/>
        </w:rPr>
        <w:t xml:space="preserve">
      8. При удостоверении (установлении) подлинности ЭЦП с использованием СКЗИ удостоверяющего центра после проведения процедуры проверки ЭЦП (определен положительный результат проверки ЭЦП и регистрационного свидетельства), а также при соответствии условиям согласно подпунктам 2), 3) и 4) </w:t>
      </w:r>
      <w:r>
        <w:rPr>
          <w:rFonts w:ascii="Times New Roman"/>
          <w:b w:val="false"/>
          <w:i w:val="false"/>
          <w:color w:val="000000"/>
          <w:sz w:val="28"/>
        </w:rPr>
        <w:t>пункта 1</w:t>
      </w:r>
      <w:r>
        <w:rPr>
          <w:rFonts w:ascii="Times New Roman"/>
          <w:b w:val="false"/>
          <w:i w:val="false"/>
          <w:color w:val="000000"/>
          <w:sz w:val="28"/>
        </w:rPr>
        <w:t xml:space="preserve"> статьи 10 Закона, электронный документ, полученный посредством информационной системы, признается равнозначным документу, подписанному собственноручной подписи с одинаковыми юридическими последствиями.</w:t>
      </w:r>
    </w:p>
    <w:bookmarkEnd w:id="46"/>
    <w:bookmarkStart w:name="z54" w:id="47"/>
    <w:p>
      <w:pPr>
        <w:spacing w:after="0"/>
        <w:ind w:left="0"/>
        <w:jc w:val="both"/>
      </w:pPr>
      <w:r>
        <w:rPr>
          <w:rFonts w:ascii="Times New Roman"/>
          <w:b w:val="false"/>
          <w:i w:val="false"/>
          <w:color w:val="000000"/>
          <w:sz w:val="28"/>
        </w:rPr>
        <w:t xml:space="preserve">
      9. При выявлении несоответствия ЭЦП (определен отрицательный результат проверки ЭЦП) после проведения процедуры проверки подлинности ЭЦП с использованием СКЗИ, а также при несоответствии условиям согласно подпунктам 2), 3) и 4) </w:t>
      </w:r>
      <w:r>
        <w:rPr>
          <w:rFonts w:ascii="Times New Roman"/>
          <w:b w:val="false"/>
          <w:i w:val="false"/>
          <w:color w:val="000000"/>
          <w:sz w:val="28"/>
        </w:rPr>
        <w:t>пункта 1</w:t>
      </w:r>
      <w:r>
        <w:rPr>
          <w:rFonts w:ascii="Times New Roman"/>
          <w:b w:val="false"/>
          <w:i w:val="false"/>
          <w:color w:val="000000"/>
          <w:sz w:val="28"/>
        </w:rPr>
        <w:t xml:space="preserve"> статьи 10 Закона, электронный документ, полученный посредством информационной системы, не признается равнозначным документу, подписанному собственноручной подписи.</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