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82147" w14:textId="9d821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построения индексов цен в строительстве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14 декабря 2016 года № 315. Зарегистрирован в Министерстве юстиции Республики Казахстан 19 января 2017 года № 14694.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427,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Руководителя Бюро национальной статистики Агентства по стратегическому планированию и реформам РК от 17.01.2025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построения индексов цен в строительстве.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статистики цен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Комитета по статистике Министерства национальной экономики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статистики цен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(Керимханова Г.М.).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статистике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национальной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2016 года № 315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построения индексов цен в строительстве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Методика построения индексов цен в строительстве (далее – Методика) относится к статистической методологии, формируемой в соответствии с международными стандартами и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статистике".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Руководителя Бюро национальной статистики Агентства по стратегическому планированию и реформам РК от 17.01.2025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Настоящая Методика определяет основные аспекты и методы формирования индексов в строительстве, характеризующих ценовые тенденции в строительном производстве, и сформированных с использованием статистических данных, полученных в рамках действующих общегосударственных статистических наблюдений.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Настоящая Методика применяется Бюро национальной статистики Агентства по стратегическому планированию и реформам Республики Казахстан и его территориальными подразделениями при формировании индексов цен и стоимости строительства (далее – строительные индексы).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Руководителя Бюро национальной статистики Агентства по стратегическому планированию и реформам РК от 17.01.2025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Строительные индексы используются: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исчислении индексов физического объема показателей строительной деятельности;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расчетах валового внутреннего продукта, производительности труда и других экономико-аналитических расчетов;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строительными и проектными организациями для корректировки стоимости строительного проекта в связи с изменением стоимости строительных ресурсов.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Методика разработана с учетом принципов и рекомендаций "Руководства по индексу цен производителей: теория и практика", изданного Международной организацией труда, Международным Валютным Фондом, Организацией экономического сотрудничества и развития, Статистическим бюро Европейских сообществ, Организацией Объединенных Наций и Всемирным банком (2004 год), адаптированных с учетом особенностей экономики Республики Казахстан и обследуемого вида экономической деятельности.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Методике используются следующие определения: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агрегирование – объединение экономических показателей низкого уровня в более крупные совокупности на всех последующих уровнях;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агрегатный индекс цен – относительный показатель, который характеризует изменение цен по отдельной подгруппе, группе или изучаемому явлению в целом и формируется на основе индивидуальных (элементарных) индексов цен;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(элементарный) индекс цен – изменение цен одного элемента изучаемой совокупности (конкретного товара, услуги);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индекс цен в строительстве – относительный показатель, характеризующий изменение цен на материально-технические ресурсы, используемые на всех этапах строительного производства: строительно-монтажные работы, машины и оборудование, прочие работы и затраты;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строительные материалы – природные и искусственные материалы и изделия, предназначенные для создания строительных конструкций, зданий и сооружений при производстве различных видов строительно-монтажных работ;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строительное производство – совокупность производственных процессов, выполняемых непосредственно на строительной площадке, включая строительно-монтажные и специальные работы;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строительные организации – общестроительные и специализированные организации, осуществляющие строительные, монтажные и другие работы, вид деятельности которых относится к секции "Строительство";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сметная стоимость – стоимость строительства объекта, определяемая в соответствии со сметными нормативами при разработке проектной документации на строительство; 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сметная прибыль – сумма средств, являющаяся нормативной частью сметной стоимости строительства, предназначенная для покрытия расходов, не относимых на себестоимость работ, развития подрядной организации, дополнительного материального стимулирования ее работников; 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прямые затраты – стоимость материалов, изделий и конструкций с их транспортировкой, инженерного оборудования поставки подрядчика, основная заработная плата рабочих-строителей и стоимость эксплуатации строительных машин и механизмов;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накладные расходы – сумма средств для возмещения затрат строительно–монтажных организаций, связанных с созданием общих условий производства, его обслуживанием, организацией и управлением, а также для уплаты налогов и обязательных платежей в бюджет, не учтенных другими составляющими сметной стоимости строительства.</w:t>
      </w:r>
    </w:p>
    <w:bookmarkEnd w:id="31"/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Охват и система классификации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Определение сферы охвата индексов цен и их составляющих зависит от конечной цели построения и основного направления их использования. Для строительных индексов определяются рамки экономического и географического охвата.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Экономическая сфера характеризуется охватом операций, по которым осуществляются ценовые сделки и которые учитываются в строительных индексах. Для строительства рассчитываются два индекса, характеризующие отрасль со стороны затрат и стороны выпуска. Со стороны затрат или издержек производства, которые несут организации, занятые строительной деятельностью, рассчитывается индекс стоимости строительства (cost index), со стороны выпуска или стоимости произведенной готовой продукции – индекс цен в строительстве (price index). Состав элементов строительных индексов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Индекс стоимости строительства (соst index) характеризует изменение затрат, понесенных подрядчиком, на факторы, формирующие прямые затраты в строительстве, включающие стоимость оплаты труда рабочих, материалов, изделий, конструкций с учетом транспортных расходов по их доставке, эксплуатации строительных машин и оборудования.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цен в строительстве (price index) характеризует изменение стоимости строительства со стороны заказчика и объединяет затраты, оплаченные подрядчику, с затратами на приобретение инженерного и технологического оборудования и прочие капитальные работы и затраты. Индекс цен в строительстве (price index) отражает динамику цен производителей на готовую продукцию строительства.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выше строительные индексы не включают все ценовые факторы, которые отражаются в конечной цене строительного объекта, выставляемой покупателю: величину прибыли, закладываемой заказчиком и другие финансовые расходы и налоги (стоимость земли, разрешения на строительство, страховые взносы, налог на регистрацию, комиссионные за предоставление ссуды под недвижимость, комиссионные агенту по продаже недвижимости).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Географический охват строительных индексов предусматривает учет строительной деятельности по месту ее фактического осуществления, независимо от места регистрации юридического лица, осуществляющего строительное производство.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Построение строительных индексов осуществляется по регионам Республики Казахстан независимо от специализации их строительного производства и фактических объемов инвестиций, израсходованных на строительство. Для расчета регионального индекса цен в строительстве (price index) используется доля соответствующего элемента технологической структуры в общем объеме инвестиций в строительство данного региона.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 отраслевому охвату строительные индексы формируются на основе данных о возведении и реконструкции объектов во всех основных видах экономической деятельности. 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Классификационная система является основой процесса формирования индекса, создания выборочных совокупностей для наблюдения, определения структуры и степени детализации формируемого показателя, диапазона субъиндексов для публикации. При разработке строительных индексов применяются стандартные статистические классификации, что позволяет получить содержательные ряды данных, пригодных для использования и сопоставимых на международном уровне.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Статистические классификации, используемые для построения строительных индексов, применяются для идентификации: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вида экономической деятельности, в котором предполагается функционирование строящегося объекта;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видов строительных материалов и их разновидностей по технологическим характеристикам (типу сырья, технологии производства, способу обработки, типовому размеру, сорту, марке).</w:t>
      </w:r>
    </w:p>
    <w:bookmarkEnd w:id="44"/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Построение индекса стоимости строительства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Индекс стоимости строительства (соst index) характеризует изменение цен на элементы затрат строительного производства, понесенных подрядчиком.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Построение индекса стоимости строительства осуществляется по основным статьям, определяющим величину затрат на производство строительно-монтажных работ: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строительные материалы, изделия, конструкции, приобретаемые строительными организациями;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оплата труда;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расходы на электроэнергию, топливо;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затраты (услуги грузового транспорта, аренда машин и оборудования);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накладные расходы. 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элементов, включаемых в индекс стоимости строительства варьируется, но обязательным является включение двух элементов: строительных материалов и оплаты труда.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Расчет индекса стоимости строительства производится на базе специально разработанных ресурсно-технологических моделей (далее – РТМ), которые включают все основные элементы затрат в строительстве.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РТМ строятся на основе проектно-сметной документации объектов, фактически возведенных в предшествующие годы на территории Республики Казахстан. Для идентичности конструктивных решений возведенные здания, сооружения и используемые ресурсы группируются по видам экономической деятельности, отражающим различные направления использования строительных объектов.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Элементы затрат в РТМ объединяются в два блока: ресурсный и стоимостной.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ресурсный блок включаются строительные материалы, детали и конструкции, используемые при строительно-монтажных работах, необходимые для возведения объектов в соответствующем виде экономической деятельности. Каждому строительному материалу, включенному в ресурсный блок, определяются усредненные объемы его применения в натуральном выражении в расчете на единую условную стоимость строительно-монтажных работ. Набор строительных материалов и усредненный объем их применения различаются по РТМ в зависимости от специфики выполнения работ на объектах различного вида.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стоимостной блок РТМ включаются статьи затрат, связанные с производством строительно-монтажных работ, обслуживанием строительства и управлением: эксплуатация строительных машин и механизмов, услуги сторонних организаций, оплата труда рабочих, занятых непосредственно на строительных и монтажных работах, накладные расходы.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определения доли ресурсного блока и структуры элементов стоимостного блока РТМ используются статистические данные общегосударственных статистических наблюдений о производственно-финансовой деятельности строительных организаций в части расходов на осуществление основной деятельности. Исходные стоимостные данные классифицируются по экономическому содержанию. Для целей использования в РТМ стоимостные данные перераспределяются по статьям расходов учитываемых элементов ресурсного и стоимостного блоков РТМ. Формирование статей затрат ресурсного и стоимостного блоков РТМ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Ценовая оценка элементов ресурсного блока РТМ осуществляется по статистическим данным об уровне цен на строительные материалы, полученным в ходе общегосударственных статистических наблюдений. Среди различных источников информации о ценах на строительные материалы предпочтение отдается статистическим данным общегосударственных статистических наблюдений о ценах производителей промышленной продукции. Дополнительно при необходимости используются данные статистики цен оптовых продаж или импортных поступлений. 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Оценка стоимости элементов стоимостного блока РТМ производится в процентном соотношении от расходов ресурсного блока РТМ. 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оценки изменения цен по элементам используется имеющаяся статистическая информация о ежемесячном изменении цен (тарифов) по позициям, являющимся наиболее затратными в структуре оцениваемого элемента: 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эксплуатацию машин и механизмов (</w:t>
      </w:r>
      <w:r>
        <w:rPr>
          <w:rFonts w:ascii="Times New Roman"/>
          <w:b w:val="false"/>
          <w:i/>
          <w:color w:val="000000"/>
          <w:sz w:val="28"/>
        </w:rPr>
        <w:t>EMM</w:t>
      </w:r>
      <w:r>
        <w:rPr>
          <w:rFonts w:ascii="Times New Roman"/>
          <w:b w:val="false"/>
          <w:i w:val="false"/>
          <w:color w:val="000000"/>
          <w:sz w:val="28"/>
        </w:rPr>
        <w:t>) используется индекс цен производителей на продукты переработки нефти и электроэнергию (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NE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оплату труда работников (</w:t>
      </w:r>
      <w:r>
        <w:rPr>
          <w:rFonts w:ascii="Times New Roman"/>
          <w:b w:val="false"/>
          <w:i/>
          <w:color w:val="000000"/>
          <w:sz w:val="28"/>
        </w:rPr>
        <w:t>ZP</w:t>
      </w:r>
      <w:r>
        <w:rPr>
          <w:rFonts w:ascii="Times New Roman"/>
          <w:b w:val="false"/>
          <w:i w:val="false"/>
          <w:color w:val="000000"/>
          <w:sz w:val="28"/>
        </w:rPr>
        <w:t>) используется индекс номинальной заработной платы работников, занятых в строительстве (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ZP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другие услуги производственного характера сторонних организаций (</w:t>
      </w:r>
      <w:r>
        <w:rPr>
          <w:rFonts w:ascii="Times New Roman"/>
          <w:b w:val="false"/>
          <w:i/>
          <w:color w:val="000000"/>
          <w:sz w:val="28"/>
        </w:rPr>
        <w:t>U</w:t>
      </w:r>
      <w:r>
        <w:rPr>
          <w:rFonts w:ascii="Times New Roman"/>
          <w:b w:val="false"/>
          <w:i w:val="false"/>
          <w:color w:val="000000"/>
          <w:sz w:val="28"/>
        </w:rPr>
        <w:t>) используется индекс тарифов на услуги грузового транспорта по перевозке строительных грузов (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U</w:t>
      </w:r>
      <w:r>
        <w:rPr>
          <w:rFonts w:ascii="Times New Roman"/>
          <w:b w:val="false"/>
          <w:i w:val="false"/>
          <w:color w:val="000000"/>
          <w:sz w:val="28"/>
        </w:rPr>
        <w:t>) и индекс цен на услуги по аренде строительной техники и оборудования (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(коэффициент) накладных расходов (</w:t>
      </w:r>
      <w:r>
        <w:rPr>
          <w:rFonts w:ascii="Times New Roman"/>
          <w:b w:val="false"/>
          <w:i/>
          <w:color w:val="000000"/>
          <w:sz w:val="28"/>
        </w:rPr>
        <w:t>NR</w:t>
      </w:r>
      <w:r>
        <w:rPr>
          <w:rFonts w:ascii="Times New Roman"/>
          <w:b w:val="false"/>
          <w:i w:val="false"/>
          <w:color w:val="000000"/>
          <w:sz w:val="28"/>
        </w:rPr>
        <w:t xml:space="preserve">) определяется в соответствии с действующими нормативными документами в области сметного ценообразования. Принимается единой для РТМ различных видов экономической деятельности и пересматриваются по мере существенных изменений в структуре расходов на осуществление строительной деятельности. 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условно начисляемому элементу накладных расходов (</w:t>
      </w:r>
      <w:r>
        <w:rPr>
          <w:rFonts w:ascii="Times New Roman"/>
          <w:b w:val="false"/>
          <w:i/>
          <w:color w:val="000000"/>
          <w:sz w:val="28"/>
        </w:rPr>
        <w:t>NR</w:t>
      </w:r>
      <w:r>
        <w:rPr>
          <w:rFonts w:ascii="Times New Roman"/>
          <w:b w:val="false"/>
          <w:i w:val="false"/>
          <w:color w:val="000000"/>
          <w:sz w:val="28"/>
        </w:rPr>
        <w:t>) изменение стоимости расходов рассчитывается соответственно изменению оплаты труда основных рабочих-строителей и машинистов. Для расчета используется формула: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C</w:t>
      </w:r>
      <w:r>
        <w:rPr>
          <w:rFonts w:ascii="Times New Roman"/>
          <w:b w:val="false"/>
          <w:i w:val="false"/>
          <w:color w:val="000000"/>
          <w:vertAlign w:val="subscript"/>
        </w:rPr>
        <w:t>NR</w:t>
      </w:r>
      <w:r>
        <w:rPr>
          <w:rFonts w:ascii="Times New Roman"/>
          <w:b w:val="false"/>
          <w:i w:val="false"/>
          <w:color w:val="000000"/>
          <w:sz w:val="28"/>
        </w:rPr>
        <w:t xml:space="preserve"> = </w:t>
      </w:r>
      <w:r>
        <w:rPr>
          <w:rFonts w:ascii="Times New Roman"/>
          <w:b w:val="false"/>
          <w:i/>
          <w:color w:val="000000"/>
          <w:sz w:val="28"/>
        </w:rPr>
        <w:t>C</w:t>
      </w:r>
      <w:r>
        <w:rPr>
          <w:rFonts w:ascii="Times New Roman"/>
          <w:b w:val="false"/>
          <w:i w:val="false"/>
          <w:color w:val="000000"/>
          <w:vertAlign w:val="subscript"/>
        </w:rPr>
        <w:t>ZR</w:t>
      </w:r>
      <w:r>
        <w:rPr>
          <w:rFonts w:ascii="Times New Roman"/>
          <w:b w:val="false"/>
          <w:i w:val="false"/>
          <w:color w:val="000000"/>
          <w:sz w:val="28"/>
        </w:rPr>
        <w:t xml:space="preserve"> x </w:t>
      </w:r>
      <w:r>
        <w:rPr>
          <w:rFonts w:ascii="Times New Roman"/>
          <w:b w:val="false"/>
          <w:i/>
          <w:color w:val="000000"/>
          <w:sz w:val="28"/>
        </w:rPr>
        <w:t>k</w:t>
      </w:r>
      <w:r>
        <w:rPr>
          <w:rFonts w:ascii="Times New Roman"/>
          <w:b w:val="false"/>
          <w:i w:val="false"/>
          <w:color w:val="000000"/>
          <w:vertAlign w:val="subscript"/>
        </w:rPr>
        <w:t>NR</w:t>
      </w:r>
      <w:r>
        <w:rPr>
          <w:rFonts w:ascii="Times New Roman"/>
          <w:b w:val="false"/>
          <w:i w:val="false"/>
          <w:color w:val="000000"/>
          <w:sz w:val="28"/>
        </w:rPr>
        <w:t>,                              (1)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C</w:t>
      </w:r>
      <w:r>
        <w:rPr>
          <w:rFonts w:ascii="Times New Roman"/>
          <w:b w:val="false"/>
          <w:i w:val="false"/>
          <w:color w:val="000000"/>
          <w:vertAlign w:val="subscript"/>
        </w:rPr>
        <w:t>NR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накладных расходов;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vertAlign w:val="subscript"/>
        </w:rPr>
        <w:t>ZP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затрат на оплату труда работников;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k</w:t>
      </w:r>
      <w:r>
        <w:rPr>
          <w:rFonts w:ascii="Times New Roman"/>
          <w:b w:val="false"/>
          <w:i w:val="false"/>
          <w:color w:val="000000"/>
          <w:vertAlign w:val="subscript"/>
        </w:rPr>
        <w:t>NR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коэффициент для накладных расходов.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Расчет стоимости строительства отчетного периода производится в следующем порядке: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определяется стоимость по каждому строительному материалу, включенному в набор основных материальных ресурсов ресурсного блока РТМ, и находится их сумма: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2032000" cy="69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                              (2)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vertAlign w:val="subscript"/>
        </w:rPr>
        <w:t>Osn.N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основных материальных ресурсов;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Wi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материального ресурса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в натуральном выражении;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Pi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цена ресурса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стандартную единицу измерения;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видов основных материальных ресурсов.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стоимость ресурсного блока РТМ в технологической модели определяется из стоимости основных материальных ресурсов и стоимости прочих материалов: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C</w:t>
      </w:r>
      <w:r>
        <w:rPr>
          <w:rFonts w:ascii="Times New Roman"/>
          <w:b w:val="false"/>
          <w:i w:val="false"/>
          <w:color w:val="000000"/>
          <w:vertAlign w:val="subscript"/>
        </w:rPr>
        <w:t>Res.B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= </w:t>
      </w:r>
      <w:r>
        <w:rPr>
          <w:rFonts w:ascii="Times New Roman"/>
          <w:b w:val="false"/>
          <w:i/>
          <w:color w:val="000000"/>
          <w:sz w:val="28"/>
        </w:rPr>
        <w:t>C</w:t>
      </w:r>
      <w:r>
        <w:rPr>
          <w:rFonts w:ascii="Times New Roman"/>
          <w:b w:val="false"/>
          <w:i w:val="false"/>
          <w:color w:val="000000"/>
          <w:vertAlign w:val="subscript"/>
        </w:rPr>
        <w:t>Osn.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+ </w:t>
      </w:r>
      <w:r>
        <w:rPr>
          <w:rFonts w:ascii="Times New Roman"/>
          <w:b w:val="false"/>
          <w:i/>
          <w:color w:val="000000"/>
          <w:sz w:val="28"/>
        </w:rPr>
        <w:t>C</w:t>
      </w:r>
      <w:r>
        <w:rPr>
          <w:rFonts w:ascii="Times New Roman"/>
          <w:b w:val="false"/>
          <w:i w:val="false"/>
          <w:color w:val="000000"/>
          <w:vertAlign w:val="subscript"/>
        </w:rPr>
        <w:t>Osn.N</w:t>
      </w:r>
      <w:r>
        <w:rPr>
          <w:rFonts w:ascii="Times New Roman"/>
          <w:b w:val="false"/>
          <w:i w:val="false"/>
          <w:color w:val="000000"/>
          <w:sz w:val="28"/>
        </w:rPr>
        <w:t xml:space="preserve"> x </w:t>
      </w:r>
      <w:r>
        <w:rPr>
          <w:rFonts w:ascii="Times New Roman"/>
          <w:b w:val="false"/>
          <w:i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sz w:val="28"/>
        </w:rPr>
        <w:t>,                              (3)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C</w:t>
      </w:r>
      <w:r>
        <w:rPr>
          <w:rFonts w:ascii="Times New Roman"/>
          <w:b w:val="false"/>
          <w:i w:val="false"/>
          <w:color w:val="000000"/>
          <w:vertAlign w:val="subscript"/>
        </w:rPr>
        <w:t>Res.B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ресурсного блока РТМ;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vertAlign w:val="subscript"/>
        </w:rPr>
        <w:t>Osn.N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основных материальных ресурсов;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стоимости прочих материалов в общей стоимости материалов, дифференцированный по видам экономической деятельности.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формирования стоимостного блока РТМ первоначально находится стоимость статей затрат (</w:t>
      </w:r>
      <w:r>
        <w:rPr>
          <w:rFonts w:ascii="Times New Roman"/>
          <w:b w:val="false"/>
          <w:i/>
          <w:color w:val="000000"/>
          <w:sz w:val="28"/>
        </w:rPr>
        <w:t>EMM, ZP, U</w:t>
      </w:r>
      <w:r>
        <w:rPr>
          <w:rFonts w:ascii="Times New Roman"/>
          <w:b w:val="false"/>
          <w:i w:val="false"/>
          <w:color w:val="000000"/>
          <w:sz w:val="28"/>
        </w:rPr>
        <w:t>), относимых на себестоимость строительно-монтажных работ, в обоих сравниваемых периодах: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C</w:t>
      </w:r>
      <w:r>
        <w:rPr>
          <w:rFonts w:ascii="Times New Roman"/>
          <w:b w:val="false"/>
          <w:i w:val="false"/>
          <w:color w:val="000000"/>
          <w:vertAlign w:val="subscript"/>
        </w:rPr>
        <w:t>t-1Zx</w:t>
      </w:r>
      <w:r>
        <w:rPr>
          <w:rFonts w:ascii="Times New Roman"/>
          <w:b w:val="false"/>
          <w:i w:val="false"/>
          <w:color w:val="000000"/>
          <w:sz w:val="28"/>
        </w:rPr>
        <w:t xml:space="preserve"> = </w:t>
      </w:r>
      <w:r>
        <w:rPr>
          <w:rFonts w:ascii="Times New Roman"/>
          <w:b w:val="false"/>
          <w:i/>
          <w:color w:val="000000"/>
          <w:sz w:val="28"/>
        </w:rPr>
        <w:t>C</w:t>
      </w:r>
      <w:r>
        <w:rPr>
          <w:rFonts w:ascii="Times New Roman"/>
          <w:b w:val="false"/>
          <w:i w:val="false"/>
          <w:color w:val="000000"/>
          <w:vertAlign w:val="subscript"/>
        </w:rPr>
        <w:t>t-1, Res.B</w:t>
      </w:r>
      <w:r>
        <w:rPr>
          <w:rFonts w:ascii="Times New Roman"/>
          <w:b w:val="false"/>
          <w:i w:val="false"/>
          <w:color w:val="000000"/>
          <w:sz w:val="28"/>
        </w:rPr>
        <w:t xml:space="preserve"> x </w:t>
      </w:r>
      <w:r>
        <w:rPr>
          <w:rFonts w:ascii="Times New Roman"/>
          <w:b w:val="false"/>
          <w:i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vertAlign w:val="subscript"/>
        </w:rPr>
        <w:t>Zx</w:t>
      </w:r>
      <w:r>
        <w:rPr>
          <w:rFonts w:ascii="Times New Roman"/>
          <w:b w:val="false"/>
          <w:i w:val="false"/>
          <w:color w:val="000000"/>
          <w:sz w:val="28"/>
        </w:rPr>
        <w:t xml:space="preserve"> ; </w:t>
      </w:r>
      <w:r>
        <w:rPr>
          <w:rFonts w:ascii="Times New Roman"/>
          <w:b w:val="false"/>
          <w:i/>
          <w:color w:val="000000"/>
          <w:sz w:val="28"/>
        </w:rPr>
        <w:t>C</w:t>
      </w:r>
      <w:r>
        <w:rPr>
          <w:rFonts w:ascii="Times New Roman"/>
          <w:b w:val="false"/>
          <w:i w:val="false"/>
          <w:color w:val="000000"/>
          <w:vertAlign w:val="subscript"/>
        </w:rPr>
        <w:t>tZx</w:t>
      </w:r>
      <w:r>
        <w:rPr>
          <w:rFonts w:ascii="Times New Roman"/>
          <w:b w:val="false"/>
          <w:i w:val="false"/>
          <w:color w:val="000000"/>
          <w:sz w:val="28"/>
        </w:rPr>
        <w:t xml:space="preserve"> = </w:t>
      </w:r>
      <w:r>
        <w:rPr>
          <w:rFonts w:ascii="Times New Roman"/>
          <w:b w:val="false"/>
          <w:i/>
          <w:color w:val="000000"/>
          <w:sz w:val="28"/>
        </w:rPr>
        <w:t>C</w:t>
      </w:r>
      <w:r>
        <w:rPr>
          <w:rFonts w:ascii="Times New Roman"/>
          <w:b w:val="false"/>
          <w:i w:val="false"/>
          <w:color w:val="000000"/>
          <w:vertAlign w:val="subscript"/>
        </w:rPr>
        <w:t>t-1Zx</w:t>
      </w:r>
      <w:r>
        <w:rPr>
          <w:rFonts w:ascii="Times New Roman"/>
          <w:b w:val="false"/>
          <w:i w:val="false"/>
          <w:color w:val="000000"/>
          <w:sz w:val="28"/>
        </w:rPr>
        <w:t xml:space="preserve"> x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/>
          <w:color w:val="000000"/>
          <w:sz w:val="28"/>
        </w:rPr>
        <w:t>x</w:t>
      </w:r>
      <w:r>
        <w:rPr>
          <w:rFonts w:ascii="Times New Roman"/>
          <w:b w:val="false"/>
          <w:i w:val="false"/>
          <w:color w:val="000000"/>
          <w:sz w:val="28"/>
        </w:rPr>
        <w:t>,                  (4)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vertAlign w:val="subscript"/>
        </w:rPr>
        <w:t>t-1Zx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соответствующей статьи затрат </w:t>
      </w:r>
      <w:r>
        <w:rPr>
          <w:rFonts w:ascii="Times New Roman"/>
          <w:b w:val="false"/>
          <w:i/>
          <w:color w:val="000000"/>
          <w:sz w:val="28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периоде, предшествующем отчетному </w:t>
      </w:r>
      <w:r>
        <w:rPr>
          <w:rFonts w:ascii="Times New Roman"/>
          <w:b w:val="false"/>
          <w:i/>
          <w:color w:val="000000"/>
          <w:sz w:val="28"/>
        </w:rPr>
        <w:t>t-1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vertAlign w:val="subscript"/>
        </w:rPr>
        <w:t>t Zх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соответствующей статьи затрат </w:t>
      </w:r>
      <w:r>
        <w:rPr>
          <w:rFonts w:ascii="Times New Roman"/>
          <w:b w:val="false"/>
          <w:i/>
          <w:color w:val="000000"/>
          <w:sz w:val="28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отчетном периоде </w:t>
      </w:r>
      <w:r>
        <w:rPr>
          <w:rFonts w:ascii="Times New Roman"/>
          <w:b w:val="false"/>
          <w:i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vertAlign w:val="subscript"/>
        </w:rPr>
        <w:t>t-1,Res.B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ресурсного блока в периоде, предшествующем отчетному </w:t>
      </w:r>
      <w:r>
        <w:rPr>
          <w:rFonts w:ascii="Times New Roman"/>
          <w:b w:val="false"/>
          <w:i/>
          <w:color w:val="000000"/>
          <w:sz w:val="28"/>
        </w:rPr>
        <w:t>t-1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vertAlign w:val="subscript"/>
        </w:rPr>
        <w:t>Zх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доля соответствующей статьи затрат </w:t>
      </w:r>
      <w:r>
        <w:rPr>
          <w:rFonts w:ascii="Times New Roman"/>
          <w:b w:val="false"/>
          <w:i/>
          <w:color w:val="000000"/>
          <w:sz w:val="28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РТМ;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/>
          <w:color w:val="000000"/>
          <w:sz w:val="28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индекс цен (тарифов) в отчетном периоде по сравнению с предыдущим, используемый для ценовой оценки соответствующей статьи затрат </w:t>
      </w:r>
      <w:r>
        <w:rPr>
          <w:rFonts w:ascii="Times New Roman"/>
          <w:b w:val="false"/>
          <w:i/>
          <w:color w:val="000000"/>
          <w:sz w:val="28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соответственно, статья затрат на эксплуатацию машин и механизмов, оплату труда работников, другие услуги производственного характера сторонних организаций.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стоимостного блока РТМ в обоих периодах находится как сумма статей затрат: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C</w:t>
      </w:r>
      <w:r>
        <w:rPr>
          <w:rFonts w:ascii="Times New Roman"/>
          <w:b w:val="false"/>
          <w:i w:val="false"/>
          <w:color w:val="000000"/>
          <w:vertAlign w:val="subscript"/>
        </w:rPr>
        <w:t>Stoim.B</w:t>
      </w:r>
      <w:r>
        <w:rPr>
          <w:rFonts w:ascii="Times New Roman"/>
          <w:b w:val="false"/>
          <w:i w:val="false"/>
          <w:color w:val="000000"/>
          <w:sz w:val="28"/>
        </w:rPr>
        <w:t xml:space="preserve"> = </w:t>
      </w:r>
      <w:r>
        <w:rPr>
          <w:rFonts w:ascii="Times New Roman"/>
          <w:b w:val="false"/>
          <w:i/>
          <w:color w:val="000000"/>
          <w:sz w:val="28"/>
        </w:rPr>
        <w:t>C</w:t>
      </w:r>
      <w:r>
        <w:rPr>
          <w:rFonts w:ascii="Times New Roman"/>
          <w:b w:val="false"/>
          <w:i w:val="false"/>
          <w:color w:val="000000"/>
          <w:vertAlign w:val="subscript"/>
        </w:rPr>
        <w:t>EMM</w:t>
      </w:r>
      <w:r>
        <w:rPr>
          <w:rFonts w:ascii="Times New Roman"/>
          <w:b w:val="false"/>
          <w:i w:val="false"/>
          <w:color w:val="000000"/>
          <w:sz w:val="28"/>
        </w:rPr>
        <w:t xml:space="preserve"> + </w:t>
      </w:r>
      <w:r>
        <w:rPr>
          <w:rFonts w:ascii="Times New Roman"/>
          <w:b w:val="false"/>
          <w:i/>
          <w:color w:val="000000"/>
          <w:sz w:val="28"/>
        </w:rPr>
        <w:t>C</w:t>
      </w:r>
      <w:r>
        <w:rPr>
          <w:rFonts w:ascii="Times New Roman"/>
          <w:b w:val="false"/>
          <w:i w:val="false"/>
          <w:color w:val="000000"/>
          <w:vertAlign w:val="subscript"/>
        </w:rPr>
        <w:t>ZP</w:t>
      </w:r>
      <w:r>
        <w:rPr>
          <w:rFonts w:ascii="Times New Roman"/>
          <w:b w:val="false"/>
          <w:i w:val="false"/>
          <w:color w:val="000000"/>
          <w:sz w:val="28"/>
        </w:rPr>
        <w:t xml:space="preserve"> + </w:t>
      </w:r>
      <w:r>
        <w:rPr>
          <w:rFonts w:ascii="Times New Roman"/>
          <w:b w:val="false"/>
          <w:i/>
          <w:color w:val="000000"/>
          <w:sz w:val="28"/>
        </w:rPr>
        <w:t>C</w:t>
      </w:r>
      <w:r>
        <w:rPr>
          <w:rFonts w:ascii="Times New Roman"/>
          <w:b w:val="false"/>
          <w:i w:val="false"/>
          <w:color w:val="000000"/>
          <w:vertAlign w:val="subscript"/>
        </w:rPr>
        <w:t>U</w:t>
      </w:r>
      <w:r>
        <w:rPr>
          <w:rFonts w:ascii="Times New Roman"/>
          <w:b w:val="false"/>
          <w:i w:val="false"/>
          <w:color w:val="000000"/>
          <w:sz w:val="28"/>
        </w:rPr>
        <w:t xml:space="preserve"> + </w:t>
      </w:r>
      <w:r>
        <w:rPr>
          <w:rFonts w:ascii="Times New Roman"/>
          <w:b w:val="false"/>
          <w:i/>
          <w:color w:val="000000"/>
          <w:sz w:val="28"/>
        </w:rPr>
        <w:t>C</w:t>
      </w:r>
      <w:r>
        <w:rPr>
          <w:rFonts w:ascii="Times New Roman"/>
          <w:b w:val="false"/>
          <w:i w:val="false"/>
          <w:color w:val="000000"/>
          <w:vertAlign w:val="subscript"/>
        </w:rPr>
        <w:t>NR</w:t>
      </w:r>
      <w:r>
        <w:rPr>
          <w:rFonts w:ascii="Times New Roman"/>
          <w:b w:val="false"/>
          <w:i w:val="false"/>
          <w:color w:val="000000"/>
          <w:sz w:val="28"/>
        </w:rPr>
        <w:t>,                        (5)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C</w:t>
      </w:r>
      <w:r>
        <w:rPr>
          <w:rFonts w:ascii="Times New Roman"/>
          <w:b w:val="false"/>
          <w:i w:val="false"/>
          <w:color w:val="000000"/>
          <w:vertAlign w:val="subscript"/>
        </w:rPr>
        <w:t>Stoim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  <w:r>
        <w:rPr>
          <w:rFonts w:ascii="Times New Roman"/>
          <w:b w:val="false"/>
          <w:i w:val="false"/>
          <w:color w:val="000000"/>
          <w:vertAlign w:val="subscript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стоимостного блока РТМ;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C</w:t>
      </w:r>
      <w:r>
        <w:rPr>
          <w:rFonts w:ascii="Times New Roman"/>
          <w:b w:val="false"/>
          <w:i w:val="false"/>
          <w:color w:val="000000"/>
          <w:vertAlign w:val="subscript"/>
        </w:rPr>
        <w:t>EMM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/>
          <w:color w:val="000000"/>
          <w:sz w:val="28"/>
        </w:rPr>
        <w:t>C</w:t>
      </w:r>
      <w:r>
        <w:rPr>
          <w:rFonts w:ascii="Times New Roman"/>
          <w:b w:val="false"/>
          <w:i w:val="false"/>
          <w:color w:val="000000"/>
          <w:vertAlign w:val="subscript"/>
        </w:rPr>
        <w:t>ZP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/>
          <w:color w:val="000000"/>
          <w:sz w:val="28"/>
        </w:rPr>
        <w:t>C</w:t>
      </w:r>
      <w:r>
        <w:rPr>
          <w:rFonts w:ascii="Times New Roman"/>
          <w:b w:val="false"/>
          <w:i w:val="false"/>
          <w:color w:val="000000"/>
          <w:vertAlign w:val="subscript"/>
        </w:rPr>
        <w:t>U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соответственно, стоимость статьи затрат на эксплуатацию машин и механизмов, оплату труда работников, другие услуги производственного характера сторонних организаций;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C</w:t>
      </w:r>
      <w:r>
        <w:rPr>
          <w:rFonts w:ascii="Times New Roman"/>
          <w:b w:val="false"/>
          <w:i w:val="false"/>
          <w:color w:val="000000"/>
          <w:vertAlign w:val="subscript"/>
        </w:rPr>
        <w:t>NR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накладных расходов.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общая стоимость РТМ находится суммированием стоимостей ресурсного и стоимостного блоков в обоих периодах: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vertAlign w:val="subscript"/>
        </w:rPr>
        <w:t>RTM</w:t>
      </w:r>
      <w:r>
        <w:rPr>
          <w:rFonts w:ascii="Times New Roman"/>
          <w:b w:val="false"/>
          <w:i w:val="false"/>
          <w:color w:val="000000"/>
          <w:sz w:val="28"/>
        </w:rPr>
        <w:t xml:space="preserve"> = </w:t>
      </w:r>
      <w:r>
        <w:rPr>
          <w:rFonts w:ascii="Times New Roman"/>
          <w:b w:val="false"/>
          <w:i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vertAlign w:val="subscript"/>
        </w:rPr>
        <w:t>Rec.B</w:t>
      </w:r>
      <w:r>
        <w:rPr>
          <w:rFonts w:ascii="Times New Roman"/>
          <w:b w:val="false"/>
          <w:i w:val="false"/>
          <w:color w:val="000000"/>
          <w:sz w:val="28"/>
        </w:rPr>
        <w:t xml:space="preserve"> + </w:t>
      </w:r>
      <w:r>
        <w:rPr>
          <w:rFonts w:ascii="Times New Roman"/>
          <w:b w:val="false"/>
          <w:i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vertAlign w:val="subscript"/>
        </w:rPr>
        <w:t>Stoim.B</w:t>
      </w:r>
      <w:r>
        <w:rPr>
          <w:rFonts w:ascii="Times New Roman"/>
          <w:b w:val="false"/>
          <w:i w:val="false"/>
          <w:color w:val="000000"/>
          <w:sz w:val="28"/>
        </w:rPr>
        <w:t>,                              (6)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vertAlign w:val="subscript"/>
        </w:rPr>
        <w:t>RTM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общая стоимость РTM;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vertAlign w:val="subscript"/>
        </w:rPr>
        <w:t>Rec.B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ресурсного блока РТМ;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vertAlign w:val="subscript"/>
        </w:rPr>
        <w:t>Stoim.B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стоимостного блока РТМ.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Значение индекса стоимости строительства (соst index) определяется как отношение стоимости всего комплекса произведенных работ при возведении объекта какого-либо вида экономической деятельности в ценах отчетного периода к стоимости этих работ в ценах предыдущего периода: 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9"/>
    <w:p>
      <w:pPr>
        <w:spacing w:after="0"/>
        <w:ind w:left="0"/>
        <w:jc w:val="both"/>
      </w:pPr>
      <w:r>
        <w:drawing>
          <wp:inline distT="0" distB="0" distL="0" distR="0">
            <wp:extent cx="2857500" cy="91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                        (7)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1"/>
    <w:p>
      <w:pPr>
        <w:spacing w:after="0"/>
        <w:ind w:left="0"/>
        <w:jc w:val="both"/>
      </w:pPr>
      <w:r>
        <w:drawing>
          <wp:inline distT="0" distB="0" distL="0" distR="0">
            <wp:extent cx="11176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индекс стоимости строительства по виду экономической деятельности </w:t>
      </w:r>
      <w:r>
        <w:rPr>
          <w:rFonts w:ascii="Times New Roman"/>
          <w:b w:val="false"/>
          <w:i/>
          <w:color w:val="000000"/>
          <w:sz w:val="28"/>
        </w:rPr>
        <w:t>f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отчетном периоде по отношению к предыдущему;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2"/>
    <w:p>
      <w:pPr>
        <w:spacing w:after="0"/>
        <w:ind w:left="0"/>
        <w:jc w:val="both"/>
      </w:pPr>
      <w:r>
        <w:drawing>
          <wp:inline distT="0" distB="0" distL="0" distR="0">
            <wp:extent cx="10414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строительства по виду экономической деятельности </w:t>
      </w:r>
      <w:r>
        <w:rPr>
          <w:rFonts w:ascii="Times New Roman"/>
          <w:b w:val="false"/>
          <w:i/>
          <w:color w:val="000000"/>
          <w:sz w:val="28"/>
        </w:rPr>
        <w:t>f</w:t>
      </w:r>
      <w:r>
        <w:rPr>
          <w:rFonts w:ascii="Times New Roman"/>
          <w:b w:val="false"/>
          <w:i w:val="false"/>
          <w:color w:val="000000"/>
          <w:sz w:val="28"/>
        </w:rPr>
        <w:t xml:space="preserve"> в ценах отчетного периода </w:t>
      </w:r>
      <w:r>
        <w:rPr>
          <w:rFonts w:ascii="Times New Roman"/>
          <w:b w:val="false"/>
          <w:i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3"/>
    <w:p>
      <w:pPr>
        <w:spacing w:after="0"/>
        <w:ind w:left="0"/>
        <w:jc w:val="both"/>
      </w:pPr>
      <w:r>
        <w:drawing>
          <wp:inline distT="0" distB="0" distL="0" distR="0">
            <wp:extent cx="13716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строительства по виду экономической деятельности </w:t>
      </w:r>
      <w:r>
        <w:rPr>
          <w:rFonts w:ascii="Times New Roman"/>
          <w:b w:val="false"/>
          <w:i/>
          <w:color w:val="000000"/>
          <w:sz w:val="28"/>
        </w:rPr>
        <w:t>f</w:t>
      </w:r>
      <w:r>
        <w:rPr>
          <w:rFonts w:ascii="Times New Roman"/>
          <w:b w:val="false"/>
          <w:i w:val="false"/>
          <w:color w:val="000000"/>
          <w:sz w:val="28"/>
        </w:rPr>
        <w:t xml:space="preserve"> в ценах предыдущего периода </w:t>
      </w:r>
      <w:r>
        <w:rPr>
          <w:rFonts w:ascii="Times New Roman"/>
          <w:b w:val="false"/>
          <w:i/>
          <w:color w:val="000000"/>
          <w:sz w:val="28"/>
        </w:rPr>
        <w:t>t-1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Построение индекса цен в строительстве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Построение индекса цен в строительстве (price index) производится исходя из элементов технологической структуры инвестиций в строительство. Под технологической структурой понимается состав затрат на сооружение объекта и их доля в общей сметной стоимости. Сметная стоимость строительства, в соответствии со структурой инвестиций и порядком планирования деятельности строительно-монтажных организаций, подразделяется на следующие виды работ и затрат: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строительно-монтажные работы;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на приобретение машин и оборудования;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прочие работы и затраты.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Агрегированный индекс цен в строительстве определяется с учетом доли (удельного веса) каждого элемента технологической структуры в общем объеме инвестиций в строительство по формуле: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STR</w:t>
      </w:r>
      <w:r>
        <w:rPr>
          <w:rFonts w:ascii="Times New Roman"/>
          <w:b w:val="false"/>
          <w:i w:val="false"/>
          <w:color w:val="000000"/>
          <w:sz w:val="28"/>
        </w:rPr>
        <w:t xml:space="preserve"> =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SMR</w:t>
      </w:r>
      <w:r>
        <w:rPr>
          <w:rFonts w:ascii="Times New Roman"/>
          <w:b w:val="false"/>
          <w:i w:val="false"/>
          <w:color w:val="000000"/>
          <w:sz w:val="28"/>
        </w:rPr>
        <w:t xml:space="preserve"> x </w:t>
      </w:r>
      <w:r>
        <w:rPr>
          <w:rFonts w:ascii="Times New Roman"/>
          <w:b w:val="false"/>
          <w:i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SMR</w:t>
      </w:r>
      <w:r>
        <w:rPr>
          <w:rFonts w:ascii="Times New Roman"/>
          <w:b w:val="false"/>
          <w:i w:val="false"/>
          <w:color w:val="000000"/>
          <w:sz w:val="28"/>
        </w:rPr>
        <w:t xml:space="preserve"> +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MO</w:t>
      </w:r>
      <w:r>
        <w:rPr>
          <w:rFonts w:ascii="Times New Roman"/>
          <w:b w:val="false"/>
          <w:i w:val="false"/>
          <w:color w:val="000000"/>
          <w:sz w:val="28"/>
        </w:rPr>
        <w:t xml:space="preserve"> x </w:t>
      </w:r>
      <w:r>
        <w:rPr>
          <w:rFonts w:ascii="Times New Roman"/>
          <w:b w:val="false"/>
          <w:i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MO</w:t>
      </w:r>
      <w:r>
        <w:rPr>
          <w:rFonts w:ascii="Times New Roman"/>
          <w:b w:val="false"/>
          <w:i w:val="false"/>
          <w:color w:val="000000"/>
          <w:sz w:val="28"/>
        </w:rPr>
        <w:t xml:space="preserve"> +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PRZ</w:t>
      </w:r>
      <w:r>
        <w:rPr>
          <w:rFonts w:ascii="Times New Roman"/>
          <w:b w:val="false"/>
          <w:i w:val="false"/>
          <w:color w:val="000000"/>
          <w:sz w:val="28"/>
        </w:rPr>
        <w:t xml:space="preserve"> x </w:t>
      </w:r>
      <w:r>
        <w:rPr>
          <w:rFonts w:ascii="Times New Roman"/>
          <w:b w:val="false"/>
          <w:i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PRZ</w:t>
      </w:r>
      <w:r>
        <w:rPr>
          <w:rFonts w:ascii="Times New Roman"/>
          <w:b w:val="false"/>
          <w:i w:val="false"/>
          <w:color w:val="000000"/>
          <w:sz w:val="28"/>
        </w:rPr>
        <w:t>,                              (8)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STR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индекс цен в строительстве;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SMR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MO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PRZ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соответственно, индексы цен на строительно-монтажные работы, машины и оборудование, прочие работы и затраты;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SMR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MO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PRZ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соответственно, удельные веса строительно-монтажных работ, машин и оборудования, прочих работ и затрат.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Удельные веса элементов технологической структуры инвестиций в строительство определяются по данным общегосударственного статистического наблюдения об инвестиционной деятельности за год, приближенный к отчетному.</w:t>
      </w:r>
    </w:p>
    <w:bookmarkEnd w:id="124"/>
    <w:bookmarkStart w:name="z134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Индекс цен на строительно-монтажные работы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Построение индекса цен на строительно-монтажные работы (далее –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SMR</w:t>
      </w:r>
      <w:r>
        <w:rPr>
          <w:rFonts w:ascii="Times New Roman"/>
          <w:b w:val="false"/>
          <w:i w:val="false"/>
          <w:color w:val="000000"/>
          <w:sz w:val="28"/>
        </w:rPr>
        <w:t xml:space="preserve">) в составе индекса цен в строительстве (price index) осуществляется на основе РТМ, используемых для построения индекса стоимости строительства (соst index). 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стоимостной блок РТМ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SMR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включаются статьи материальных затрат и затрат, связанных с производством строительно-монтажных работ, его обслуживанием и управлением: строительные материалы, изделия, конструкции, эксплуатация строительных машин и механизмов, услуги производственного характера сторонних организаций, оплата труда рабочих, занятых непосредственно на строительных и монтажных работах, прибыль подрядчика. 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SMR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 стоимости ресурсного блока РТМ и стоимости по основным статьям затрат стоимостного блока, за исключением прибыли подрядчика, осуществляется в последовательности, как по соответствующим элементам индекса стоимости строительства (соst index) по формулам 2-4. 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 основе полученных данных формируются прямые затраты (</w:t>
      </w:r>
      <w:r>
        <w:rPr>
          <w:rFonts w:ascii="Times New Roman"/>
          <w:b w:val="false"/>
          <w:i/>
          <w:color w:val="000000"/>
          <w:sz w:val="28"/>
        </w:rPr>
        <w:t>PrZ</w:t>
      </w:r>
      <w:r>
        <w:rPr>
          <w:rFonts w:ascii="Times New Roman"/>
          <w:b w:val="false"/>
          <w:i w:val="false"/>
          <w:color w:val="000000"/>
          <w:sz w:val="28"/>
        </w:rPr>
        <w:t>) по формуле: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vertAlign w:val="subscript"/>
        </w:rPr>
        <w:t>PrZ</w:t>
      </w:r>
      <w:r>
        <w:rPr>
          <w:rFonts w:ascii="Times New Roman"/>
          <w:b w:val="false"/>
          <w:i w:val="false"/>
          <w:color w:val="000000"/>
          <w:sz w:val="28"/>
        </w:rPr>
        <w:t xml:space="preserve"> = </w:t>
      </w:r>
      <w:r>
        <w:rPr>
          <w:rFonts w:ascii="Times New Roman"/>
          <w:b w:val="false"/>
          <w:i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vertAlign w:val="subscript"/>
        </w:rPr>
        <w:t>Res.B</w:t>
      </w:r>
      <w:r>
        <w:rPr>
          <w:rFonts w:ascii="Times New Roman"/>
          <w:b w:val="false"/>
          <w:i w:val="false"/>
          <w:color w:val="000000"/>
          <w:sz w:val="28"/>
        </w:rPr>
        <w:t xml:space="preserve"> + </w:t>
      </w:r>
      <w:r>
        <w:rPr>
          <w:rFonts w:ascii="Times New Roman"/>
          <w:b w:val="false"/>
          <w:i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vertAlign w:val="subscript"/>
        </w:rPr>
        <w:t>EMM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+ </w:t>
      </w:r>
      <w:r>
        <w:rPr>
          <w:rFonts w:ascii="Times New Roman"/>
          <w:b w:val="false"/>
          <w:i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vertAlign w:val="subscript"/>
        </w:rPr>
        <w:t>ZP</w:t>
      </w:r>
      <w:r>
        <w:rPr>
          <w:rFonts w:ascii="Times New Roman"/>
          <w:b w:val="false"/>
          <w:i w:val="false"/>
          <w:color w:val="000000"/>
          <w:sz w:val="28"/>
        </w:rPr>
        <w:t xml:space="preserve"> + </w:t>
      </w:r>
      <w:r>
        <w:rPr>
          <w:rFonts w:ascii="Times New Roman"/>
          <w:b w:val="false"/>
          <w:i/>
          <w:color w:val="000000"/>
          <w:sz w:val="28"/>
        </w:rPr>
        <w:t>C</w:t>
      </w:r>
      <w:r>
        <w:rPr>
          <w:rFonts w:ascii="Times New Roman"/>
          <w:b w:val="false"/>
          <w:i w:val="false"/>
          <w:color w:val="000000"/>
          <w:vertAlign w:val="subscript"/>
        </w:rPr>
        <w:t>U</w:t>
      </w:r>
      <w:r>
        <w:rPr>
          <w:rFonts w:ascii="Times New Roman"/>
          <w:b w:val="false"/>
          <w:i w:val="false"/>
          <w:color w:val="000000"/>
          <w:sz w:val="28"/>
        </w:rPr>
        <w:t>,                              (9)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vertAlign w:val="subscript"/>
        </w:rPr>
        <w:t>PrZ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прямых затрат;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vertAlign w:val="subscript"/>
        </w:rPr>
        <w:t>Res.B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ресурсного блока РТМ; 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vertAlign w:val="subscript"/>
        </w:rPr>
        <w:t>EMM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vertAlign w:val="subscript"/>
        </w:rPr>
        <w:t>ZP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/>
          <w:color w:val="000000"/>
          <w:sz w:val="28"/>
        </w:rPr>
        <w:t>C</w:t>
      </w:r>
      <w:r>
        <w:rPr>
          <w:rFonts w:ascii="Times New Roman"/>
          <w:b w:val="false"/>
          <w:i w:val="false"/>
          <w:color w:val="000000"/>
          <w:vertAlign w:val="subscript"/>
        </w:rPr>
        <w:t>U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соответственно, стоимость статей затрат на эксплуатацию машин и механизмов, оплату труда работников, другие услуги производственного характера сторонних организаций.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 условно исчисляемому элементу прибыли подрядчика (</w:t>
      </w:r>
      <w:r>
        <w:rPr>
          <w:rFonts w:ascii="Times New Roman"/>
          <w:b w:val="false"/>
          <w:i/>
          <w:color w:val="000000"/>
          <w:sz w:val="28"/>
        </w:rPr>
        <w:t>PR</w:t>
      </w:r>
      <w:r>
        <w:rPr>
          <w:rFonts w:ascii="Times New Roman"/>
          <w:b w:val="false"/>
          <w:i w:val="false"/>
          <w:color w:val="000000"/>
          <w:sz w:val="28"/>
        </w:rPr>
        <w:t>) изменение стоимости рассчитывается соответственно изменению суммы прямых затрат и накладных расходов. Для их расчета используется формула: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C</w:t>
      </w:r>
      <w:r>
        <w:rPr>
          <w:rFonts w:ascii="Times New Roman"/>
          <w:b w:val="false"/>
          <w:i w:val="false"/>
          <w:color w:val="000000"/>
          <w:vertAlign w:val="subscript"/>
        </w:rPr>
        <w:t>PR</w:t>
      </w:r>
      <w:r>
        <w:rPr>
          <w:rFonts w:ascii="Times New Roman"/>
          <w:b w:val="false"/>
          <w:i w:val="false"/>
          <w:color w:val="000000"/>
          <w:sz w:val="28"/>
        </w:rPr>
        <w:t xml:space="preserve"> = (</w:t>
      </w:r>
      <w:r>
        <w:rPr>
          <w:rFonts w:ascii="Times New Roman"/>
          <w:b w:val="false"/>
          <w:i/>
          <w:color w:val="000000"/>
          <w:sz w:val="28"/>
        </w:rPr>
        <w:t>C</w:t>
      </w:r>
      <w:r>
        <w:rPr>
          <w:rFonts w:ascii="Times New Roman"/>
          <w:b w:val="false"/>
          <w:i w:val="false"/>
          <w:color w:val="000000"/>
          <w:vertAlign w:val="subscript"/>
        </w:rPr>
        <w:t>PZ</w:t>
      </w:r>
      <w:r>
        <w:rPr>
          <w:rFonts w:ascii="Times New Roman"/>
          <w:b w:val="false"/>
          <w:i w:val="false"/>
          <w:color w:val="000000"/>
          <w:sz w:val="28"/>
        </w:rPr>
        <w:t xml:space="preserve"> + </w:t>
      </w:r>
      <w:r>
        <w:rPr>
          <w:rFonts w:ascii="Times New Roman"/>
          <w:b w:val="false"/>
          <w:i/>
          <w:color w:val="000000"/>
          <w:sz w:val="28"/>
        </w:rPr>
        <w:t>C</w:t>
      </w:r>
      <w:r>
        <w:rPr>
          <w:rFonts w:ascii="Times New Roman"/>
          <w:b w:val="false"/>
          <w:i w:val="false"/>
          <w:color w:val="000000"/>
          <w:vertAlign w:val="subscript"/>
        </w:rPr>
        <w:t>NR</w:t>
      </w:r>
      <w:r>
        <w:rPr>
          <w:rFonts w:ascii="Times New Roman"/>
          <w:b w:val="false"/>
          <w:i w:val="false"/>
          <w:color w:val="000000"/>
          <w:sz w:val="28"/>
        </w:rPr>
        <w:t xml:space="preserve">) x </w:t>
      </w:r>
      <w:r>
        <w:rPr>
          <w:rFonts w:ascii="Times New Roman"/>
          <w:b w:val="false"/>
          <w:i/>
          <w:color w:val="000000"/>
          <w:sz w:val="28"/>
        </w:rPr>
        <w:t>k</w:t>
      </w:r>
      <w:r>
        <w:rPr>
          <w:rFonts w:ascii="Times New Roman"/>
          <w:b w:val="false"/>
          <w:i w:val="false"/>
          <w:color w:val="000000"/>
          <w:sz w:val="28"/>
        </w:rPr>
        <w:t>,                              (10)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C</w:t>
      </w:r>
      <w:r>
        <w:rPr>
          <w:rFonts w:ascii="Times New Roman"/>
          <w:b w:val="false"/>
          <w:i w:val="false"/>
          <w:color w:val="000000"/>
          <w:vertAlign w:val="subscript"/>
        </w:rPr>
        <w:t>PR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прибыли подрядчика;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C</w:t>
      </w:r>
      <w:r>
        <w:rPr>
          <w:rFonts w:ascii="Times New Roman"/>
          <w:b w:val="false"/>
          <w:i w:val="false"/>
          <w:color w:val="000000"/>
          <w:vertAlign w:val="subscript"/>
        </w:rPr>
        <w:t>PZ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прямых затрат;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C</w:t>
      </w:r>
      <w:r>
        <w:rPr>
          <w:rFonts w:ascii="Times New Roman"/>
          <w:b w:val="false"/>
          <w:i w:val="false"/>
          <w:color w:val="000000"/>
          <w:vertAlign w:val="subscript"/>
        </w:rPr>
        <w:t>NR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накладных расходов;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k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для прибыли подрядчика.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Величина стоимостного блока СМР для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SMR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в обоих периодах находится как сумма всех затрат на производство строительно-монтажных работ и прибыли подрядчика: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C</w:t>
      </w:r>
      <w:r>
        <w:rPr>
          <w:rFonts w:ascii="Times New Roman"/>
          <w:b w:val="false"/>
          <w:i w:val="false"/>
          <w:color w:val="000000"/>
          <w:vertAlign w:val="subscript"/>
        </w:rPr>
        <w:t>Stoim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  <w:r>
        <w:rPr>
          <w:rFonts w:ascii="Times New Roman"/>
          <w:b w:val="false"/>
          <w:i w:val="false"/>
          <w:color w:val="000000"/>
          <w:vertAlign w:val="subscript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 xml:space="preserve"> = </w:t>
      </w:r>
      <w:r>
        <w:rPr>
          <w:rFonts w:ascii="Times New Roman"/>
          <w:b w:val="false"/>
          <w:i/>
          <w:color w:val="000000"/>
          <w:sz w:val="28"/>
        </w:rPr>
        <w:t>C</w:t>
      </w:r>
      <w:r>
        <w:rPr>
          <w:rFonts w:ascii="Times New Roman"/>
          <w:b w:val="false"/>
          <w:i w:val="false"/>
          <w:color w:val="000000"/>
          <w:vertAlign w:val="subscript"/>
        </w:rPr>
        <w:t>EMM</w:t>
      </w:r>
      <w:r>
        <w:rPr>
          <w:rFonts w:ascii="Times New Roman"/>
          <w:b w:val="false"/>
          <w:i w:val="false"/>
          <w:color w:val="000000"/>
          <w:sz w:val="28"/>
        </w:rPr>
        <w:t xml:space="preserve"> + </w:t>
      </w:r>
      <w:r>
        <w:rPr>
          <w:rFonts w:ascii="Times New Roman"/>
          <w:b w:val="false"/>
          <w:i/>
          <w:color w:val="000000"/>
          <w:sz w:val="28"/>
        </w:rPr>
        <w:t>C</w:t>
      </w:r>
      <w:r>
        <w:rPr>
          <w:rFonts w:ascii="Times New Roman"/>
          <w:b w:val="false"/>
          <w:i w:val="false"/>
          <w:color w:val="000000"/>
          <w:vertAlign w:val="subscript"/>
        </w:rPr>
        <w:t>ZP</w:t>
      </w:r>
      <w:r>
        <w:rPr>
          <w:rFonts w:ascii="Times New Roman"/>
          <w:b w:val="false"/>
          <w:i w:val="false"/>
          <w:color w:val="000000"/>
          <w:sz w:val="28"/>
        </w:rPr>
        <w:t xml:space="preserve"> + </w:t>
      </w:r>
      <w:r>
        <w:rPr>
          <w:rFonts w:ascii="Times New Roman"/>
          <w:b w:val="false"/>
          <w:i/>
          <w:color w:val="000000"/>
          <w:sz w:val="28"/>
        </w:rPr>
        <w:t>C</w:t>
      </w:r>
      <w:r>
        <w:rPr>
          <w:rFonts w:ascii="Times New Roman"/>
          <w:b w:val="false"/>
          <w:i w:val="false"/>
          <w:color w:val="000000"/>
          <w:vertAlign w:val="subscript"/>
        </w:rPr>
        <w:t>U</w:t>
      </w:r>
      <w:r>
        <w:rPr>
          <w:rFonts w:ascii="Times New Roman"/>
          <w:b w:val="false"/>
          <w:i w:val="false"/>
          <w:color w:val="000000"/>
          <w:sz w:val="28"/>
        </w:rPr>
        <w:t xml:space="preserve"> + </w:t>
      </w:r>
      <w:r>
        <w:rPr>
          <w:rFonts w:ascii="Times New Roman"/>
          <w:b w:val="false"/>
          <w:i/>
          <w:color w:val="000000"/>
          <w:sz w:val="28"/>
        </w:rPr>
        <w:t>C</w:t>
      </w:r>
      <w:r>
        <w:rPr>
          <w:rFonts w:ascii="Times New Roman"/>
          <w:b w:val="false"/>
          <w:i w:val="false"/>
          <w:color w:val="000000"/>
          <w:vertAlign w:val="subscript"/>
        </w:rPr>
        <w:t>NR</w:t>
      </w:r>
      <w:r>
        <w:rPr>
          <w:rFonts w:ascii="Times New Roman"/>
          <w:b w:val="false"/>
          <w:i w:val="false"/>
          <w:color w:val="000000"/>
          <w:sz w:val="28"/>
        </w:rPr>
        <w:t xml:space="preserve"> + </w:t>
      </w:r>
      <w:r>
        <w:rPr>
          <w:rFonts w:ascii="Times New Roman"/>
          <w:b w:val="false"/>
          <w:i/>
          <w:color w:val="000000"/>
          <w:sz w:val="28"/>
        </w:rPr>
        <w:t>C</w:t>
      </w:r>
      <w:r>
        <w:rPr>
          <w:rFonts w:ascii="Times New Roman"/>
          <w:b w:val="false"/>
          <w:i w:val="false"/>
          <w:color w:val="000000"/>
          <w:vertAlign w:val="subscript"/>
        </w:rPr>
        <w:t>PR</w:t>
      </w:r>
      <w:r>
        <w:rPr>
          <w:rFonts w:ascii="Times New Roman"/>
          <w:b w:val="false"/>
          <w:i w:val="false"/>
          <w:color w:val="000000"/>
          <w:sz w:val="28"/>
        </w:rPr>
        <w:t>,                              (11)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C</w:t>
      </w:r>
      <w:r>
        <w:rPr>
          <w:rFonts w:ascii="Times New Roman"/>
          <w:b w:val="false"/>
          <w:i w:val="false"/>
          <w:color w:val="000000"/>
          <w:vertAlign w:val="subscript"/>
        </w:rPr>
        <w:t>Stoim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  <w:r>
        <w:rPr>
          <w:rFonts w:ascii="Times New Roman"/>
          <w:b w:val="false"/>
          <w:i w:val="false"/>
          <w:color w:val="000000"/>
          <w:vertAlign w:val="subscript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стоимостного блока СМР;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C</w:t>
      </w:r>
      <w:r>
        <w:rPr>
          <w:rFonts w:ascii="Times New Roman"/>
          <w:b w:val="false"/>
          <w:i w:val="false"/>
          <w:color w:val="000000"/>
          <w:vertAlign w:val="subscript"/>
        </w:rPr>
        <w:t>EMM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/>
          <w:color w:val="000000"/>
          <w:sz w:val="28"/>
        </w:rPr>
        <w:t>C</w:t>
      </w:r>
      <w:r>
        <w:rPr>
          <w:rFonts w:ascii="Times New Roman"/>
          <w:b w:val="false"/>
          <w:i w:val="false"/>
          <w:color w:val="000000"/>
          <w:vertAlign w:val="subscript"/>
        </w:rPr>
        <w:t>ZP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/>
          <w:color w:val="000000"/>
          <w:sz w:val="28"/>
        </w:rPr>
        <w:t>C</w:t>
      </w:r>
      <w:r>
        <w:rPr>
          <w:rFonts w:ascii="Times New Roman"/>
          <w:b w:val="false"/>
          <w:i w:val="false"/>
          <w:color w:val="000000"/>
          <w:vertAlign w:val="subscript"/>
        </w:rPr>
        <w:t>U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соответственно, стоимость затрат на эксплуатацию машин и механизмов, оплату труда работников, другие услуги производственного характера сторонних организаций;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C</w:t>
      </w:r>
      <w:r>
        <w:rPr>
          <w:rFonts w:ascii="Times New Roman"/>
          <w:b w:val="false"/>
          <w:i w:val="false"/>
          <w:color w:val="000000"/>
          <w:vertAlign w:val="subscript"/>
        </w:rPr>
        <w:t>NR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накладных расходов;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C</w:t>
      </w:r>
      <w:r>
        <w:rPr>
          <w:rFonts w:ascii="Times New Roman"/>
          <w:b w:val="false"/>
          <w:i w:val="false"/>
          <w:color w:val="000000"/>
          <w:vertAlign w:val="subscript"/>
        </w:rPr>
        <w:t>PR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прибыль подрядчика.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Общая стоимость СМР для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SMR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находится суммированием стоимостей ресурсного и стоимостного блоков в обоих периодах: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C</w:t>
      </w:r>
      <w:r>
        <w:rPr>
          <w:rFonts w:ascii="Times New Roman"/>
          <w:b w:val="false"/>
          <w:i w:val="false"/>
          <w:color w:val="000000"/>
          <w:vertAlign w:val="subscript"/>
        </w:rPr>
        <w:t>SMR</w:t>
      </w:r>
      <w:r>
        <w:rPr>
          <w:rFonts w:ascii="Times New Roman"/>
          <w:b w:val="false"/>
          <w:i w:val="false"/>
          <w:color w:val="000000"/>
          <w:sz w:val="28"/>
        </w:rPr>
        <w:t xml:space="preserve"> = </w:t>
      </w:r>
      <w:r>
        <w:rPr>
          <w:rFonts w:ascii="Times New Roman"/>
          <w:b w:val="false"/>
          <w:i/>
          <w:color w:val="000000"/>
          <w:sz w:val="28"/>
        </w:rPr>
        <w:t>C</w:t>
      </w:r>
      <w:r>
        <w:rPr>
          <w:rFonts w:ascii="Times New Roman"/>
          <w:b w:val="false"/>
          <w:i w:val="false"/>
          <w:color w:val="000000"/>
          <w:vertAlign w:val="subscript"/>
        </w:rPr>
        <w:t>Rec.B</w:t>
      </w:r>
      <w:r>
        <w:rPr>
          <w:rFonts w:ascii="Times New Roman"/>
          <w:b w:val="false"/>
          <w:i w:val="false"/>
          <w:color w:val="000000"/>
          <w:sz w:val="28"/>
        </w:rPr>
        <w:t xml:space="preserve"> + </w:t>
      </w:r>
      <w:r>
        <w:rPr>
          <w:rFonts w:ascii="Times New Roman"/>
          <w:b w:val="false"/>
          <w:i/>
          <w:color w:val="000000"/>
          <w:sz w:val="28"/>
        </w:rPr>
        <w:t>C</w:t>
      </w:r>
      <w:r>
        <w:rPr>
          <w:rFonts w:ascii="Times New Roman"/>
          <w:b w:val="false"/>
          <w:i w:val="false"/>
          <w:color w:val="000000"/>
          <w:vertAlign w:val="subscript"/>
        </w:rPr>
        <w:t>Stoim.B</w:t>
      </w:r>
      <w:r>
        <w:rPr>
          <w:rFonts w:ascii="Times New Roman"/>
          <w:b w:val="false"/>
          <w:i w:val="false"/>
          <w:color w:val="000000"/>
          <w:sz w:val="28"/>
        </w:rPr>
        <w:t>,                              (12)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C</w:t>
      </w:r>
      <w:r>
        <w:rPr>
          <w:rFonts w:ascii="Times New Roman"/>
          <w:b w:val="false"/>
          <w:i w:val="false"/>
          <w:color w:val="000000"/>
          <w:vertAlign w:val="subscript"/>
        </w:rPr>
        <w:t>SMR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общая стоимость СМР;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C</w:t>
      </w:r>
      <w:r>
        <w:rPr>
          <w:rFonts w:ascii="Times New Roman"/>
          <w:b w:val="false"/>
          <w:i w:val="false"/>
          <w:color w:val="000000"/>
          <w:vertAlign w:val="subscript"/>
        </w:rPr>
        <w:t>Rec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  <w:r>
        <w:rPr>
          <w:rFonts w:ascii="Times New Roman"/>
          <w:b w:val="false"/>
          <w:i w:val="false"/>
          <w:color w:val="000000"/>
          <w:vertAlign w:val="subscript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ресурсного блока СМР;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C</w:t>
      </w:r>
      <w:r>
        <w:rPr>
          <w:rFonts w:ascii="Times New Roman"/>
          <w:b w:val="false"/>
          <w:i w:val="false"/>
          <w:color w:val="000000"/>
          <w:vertAlign w:val="subscript"/>
        </w:rPr>
        <w:t>Stoim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  <w:r>
        <w:rPr>
          <w:rFonts w:ascii="Times New Roman"/>
          <w:b w:val="false"/>
          <w:i w:val="false"/>
          <w:color w:val="000000"/>
          <w:vertAlign w:val="subscript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>, – стоимость стоимостного блока СМР.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Индекс цен на строительно-монтажные работы определяется отношением стоимостной оценки всей совокупности затрат на их производство в отчетном периоде к предыдущему периоду: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SMR</w:t>
      </w:r>
      <w:r>
        <w:rPr>
          <w:rFonts w:ascii="Times New Roman"/>
          <w:b w:val="false"/>
          <w:i w:val="false"/>
          <w:color w:val="000000"/>
          <w:sz w:val="28"/>
        </w:rPr>
        <w:t xml:space="preserve"> =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C</w:t>
      </w:r>
      <w:r>
        <w:rPr>
          <w:rFonts w:ascii="Times New Roman"/>
          <w:b w:val="false"/>
          <w:i w:val="false"/>
          <w:color w:val="000000"/>
          <w:vertAlign w:val="subscript"/>
        </w:rPr>
        <w:t>Rec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  <w:r>
        <w:rPr>
          <w:rFonts w:ascii="Times New Roman"/>
          <w:b w:val="false"/>
          <w:i w:val="false"/>
          <w:color w:val="000000"/>
          <w:vertAlign w:val="subscript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 xml:space="preserve"> + </w:t>
      </w:r>
      <w:r>
        <w:rPr>
          <w:rFonts w:ascii="Times New Roman"/>
          <w:b w:val="false"/>
          <w:i/>
          <w:color w:val="000000"/>
          <w:sz w:val="28"/>
        </w:rPr>
        <w:t>C</w:t>
      </w:r>
      <w:r>
        <w:rPr>
          <w:rFonts w:ascii="Times New Roman"/>
          <w:b w:val="false"/>
          <w:i w:val="false"/>
          <w:color w:val="000000"/>
          <w:vertAlign w:val="subscript"/>
        </w:rPr>
        <w:t>Stoim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  <w:r>
        <w:rPr>
          <w:rFonts w:ascii="Times New Roman"/>
          <w:b w:val="false"/>
          <w:i w:val="false"/>
          <w:color w:val="000000"/>
          <w:vertAlign w:val="subscript"/>
        </w:rPr>
        <w:t>B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/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C</w:t>
      </w:r>
      <w:r>
        <w:rPr>
          <w:rFonts w:ascii="Times New Roman"/>
          <w:b w:val="false"/>
          <w:i w:val="false"/>
          <w:color w:val="000000"/>
          <w:vertAlign w:val="subscript"/>
        </w:rPr>
        <w:t>Rec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  <w:r>
        <w:rPr>
          <w:rFonts w:ascii="Times New Roman"/>
          <w:b w:val="false"/>
          <w:i w:val="false"/>
          <w:color w:val="000000"/>
          <w:vertAlign w:val="subscript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 xml:space="preserve"> + </w:t>
      </w:r>
      <w:r>
        <w:rPr>
          <w:rFonts w:ascii="Times New Roman"/>
          <w:b w:val="false"/>
          <w:i/>
          <w:color w:val="000000"/>
          <w:sz w:val="28"/>
        </w:rPr>
        <w:t>C</w:t>
      </w:r>
      <w:r>
        <w:rPr>
          <w:rFonts w:ascii="Times New Roman"/>
          <w:b w:val="false"/>
          <w:i w:val="false"/>
          <w:color w:val="000000"/>
          <w:vertAlign w:val="subscript"/>
        </w:rPr>
        <w:t>Stoim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  <w:r>
        <w:rPr>
          <w:rFonts w:ascii="Times New Roman"/>
          <w:b w:val="false"/>
          <w:i w:val="false"/>
          <w:color w:val="000000"/>
          <w:vertAlign w:val="subscript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vertAlign w:val="subscript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>,                  (13)</w:t>
      </w:r>
    </w:p>
    <w:bookmarkEnd w:id="156"/>
    <w:bookmarkStart w:name="z166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Расчет индексов цен и средних цен на строительные материалы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Индивидуальный индекс цен по материалу-представителю рассчитывается путем сравнения фактической цены каждого вида строительного материала в текущем и предыдущем периоде: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9"/>
    <w:p>
      <w:pPr>
        <w:spacing w:after="0"/>
        <w:ind w:left="0"/>
        <w:jc w:val="both"/>
      </w:pPr>
      <w:r>
        <w:drawing>
          <wp:inline distT="0" distB="0" distL="0" distR="0">
            <wp:extent cx="1143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13462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                              (14)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p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индивидуальный индекс цен;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P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цена материала-представителя в отчетном периоде </w:t>
      </w:r>
      <w:r>
        <w:rPr>
          <w:rFonts w:ascii="Times New Roman"/>
          <w:b w:val="false"/>
          <w:i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P</w:t>
      </w:r>
      <w:r>
        <w:rPr>
          <w:rFonts w:ascii="Times New Roman"/>
          <w:b w:val="false"/>
          <w:i w:val="false"/>
          <w:color w:val="000000"/>
          <w:vertAlign w:val="subscript"/>
        </w:rPr>
        <w:t>t-1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цена материала-представителя в предыдущем периоде </w:t>
      </w:r>
      <w:r>
        <w:rPr>
          <w:rFonts w:ascii="Times New Roman"/>
          <w:b w:val="false"/>
          <w:i/>
          <w:color w:val="000000"/>
          <w:sz w:val="28"/>
        </w:rPr>
        <w:t>t-</w:t>
      </w:r>
      <w:r>
        <w:rPr>
          <w:rFonts w:ascii="Times New Roman"/>
          <w:b w:val="false"/>
          <w:i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Индивидуальный индекс цен по виду строительного материала </w:t>
      </w:r>
      <w:r>
        <w:rPr>
          <w:rFonts w:ascii="Times New Roman"/>
          <w:b w:val="false"/>
          <w:i/>
          <w:color w:val="000000"/>
          <w:sz w:val="28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исчисляется на основе информации об уровне цен или их изменении на материалы-представители, его определяющие.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расчета индивидуальных индексов цен используется формула простой (невзвешенной) средней геометрической индивидуальных индексов цен, что эквивалентно соотношению невзвешенных средних геометрических цен (индекс Джевонса):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6"/>
    <w:p>
      <w:pPr>
        <w:spacing w:after="0"/>
        <w:ind w:left="0"/>
        <w:jc w:val="both"/>
      </w:pPr>
      <w:r>
        <w:drawing>
          <wp:inline distT="0" distB="0" distL="0" distR="0">
            <wp:extent cx="3797300" cy="144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973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                        (15)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индивидуальный индекс цен по виду материала j;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P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/>
          <w:color w:val="000000"/>
          <w:sz w:val="28"/>
        </w:rPr>
        <w:t>P</w:t>
      </w:r>
      <w:r>
        <w:rPr>
          <w:rFonts w:ascii="Times New Roman"/>
          <w:b w:val="false"/>
          <w:i w:val="false"/>
          <w:color w:val="000000"/>
          <w:vertAlign w:val="subscript"/>
        </w:rPr>
        <w:t>t-1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цена материала-представителя в соответствующем периоде;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индивидуальные индексы цен;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/>
          <w:color w:val="000000"/>
          <w:sz w:val="28"/>
        </w:rPr>
        <w:t>t-1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соответственно, отчетный и предыдущий периоды сравнения;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вид строительного материала, который объединяет несколько конкретных материалов-представителей (от одного до n);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материалов-представителей, определяющих вид строительного материала.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индекс цен вычисляется по каждой товарной позиции по каждому региону. 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Индекс цен по классам (группам) строительных материалов по регионам и Республике Казахстан рассчитывается делением сумм стоимостной оценки материалов, входящих в этот класс (группу), в сравниваемых периодах: 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6"/>
    <w:p>
      <w:pPr>
        <w:spacing w:after="0"/>
        <w:ind w:left="0"/>
        <w:jc w:val="both"/>
      </w:pPr>
      <w:r>
        <w:drawing>
          <wp:inline distT="0" distB="0" distL="0" distR="0">
            <wp:extent cx="2692400" cy="111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                        (16)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m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индекс цен по группе материалов </w:t>
      </w:r>
      <w:r>
        <w:rPr>
          <w:rFonts w:ascii="Times New Roman"/>
          <w:b w:val="false"/>
          <w:i/>
          <w:color w:val="000000"/>
          <w:sz w:val="28"/>
        </w:rPr>
        <w:t>m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W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материала </w:t>
      </w:r>
      <w:r>
        <w:rPr>
          <w:rFonts w:ascii="Times New Roman"/>
          <w:b w:val="false"/>
          <w:i/>
          <w:color w:val="000000"/>
          <w:sz w:val="28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, входящего в группу материалов </w:t>
      </w:r>
      <w:r>
        <w:rPr>
          <w:rFonts w:ascii="Times New Roman"/>
          <w:b w:val="false"/>
          <w:i/>
          <w:color w:val="000000"/>
          <w:sz w:val="28"/>
        </w:rPr>
        <w:t>m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Pj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>, Pj</w:t>
      </w:r>
      <w:r>
        <w:rPr>
          <w:rFonts w:ascii="Times New Roman"/>
          <w:b w:val="false"/>
          <w:i w:val="false"/>
          <w:color w:val="000000"/>
          <w:vertAlign w:val="subscript"/>
        </w:rPr>
        <w:t>(t-1)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фактические цены материала </w:t>
      </w:r>
      <w:r>
        <w:rPr>
          <w:rFonts w:ascii="Times New Roman"/>
          <w:b w:val="false"/>
          <w:i/>
          <w:color w:val="000000"/>
          <w:sz w:val="28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, входящего в группу материалов </w:t>
      </w:r>
      <w:r>
        <w:rPr>
          <w:rFonts w:ascii="Times New Roman"/>
          <w:b w:val="false"/>
          <w:i/>
          <w:color w:val="000000"/>
          <w:sz w:val="28"/>
        </w:rPr>
        <w:t>m</w:t>
      </w:r>
      <w:r>
        <w:rPr>
          <w:rFonts w:ascii="Times New Roman"/>
          <w:b w:val="false"/>
          <w:i w:val="false"/>
          <w:color w:val="000000"/>
          <w:sz w:val="28"/>
        </w:rPr>
        <w:t>, в отчетном и предыдущем периоде;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видов материалов в группе </w:t>
      </w:r>
      <w:r>
        <w:rPr>
          <w:rFonts w:ascii="Times New Roman"/>
          <w:b w:val="false"/>
          <w:i/>
          <w:color w:val="000000"/>
          <w:sz w:val="28"/>
        </w:rPr>
        <w:t>m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Средние цены по региону по виду строительного материала рассчитываются на основе зафиксированных цен на материалы-представители по формуле средней геометрической: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3"/>
    <w:p>
      <w:pPr>
        <w:spacing w:after="0"/>
        <w:ind w:left="0"/>
        <w:jc w:val="both"/>
      </w:pPr>
      <w:r>
        <w:drawing>
          <wp:inline distT="0" distB="0" distL="0" distR="0">
            <wp:extent cx="34417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417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                  (17)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5"/>
    <w:p>
      <w:pPr>
        <w:spacing w:after="0"/>
        <w:ind w:left="0"/>
        <w:jc w:val="both"/>
      </w:pPr>
      <w:r>
        <w:drawing>
          <wp:inline distT="0" distB="0" distL="0" distR="0">
            <wp:extent cx="3048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цена по виду строительного материала </w:t>
      </w:r>
      <w:r>
        <w:rPr>
          <w:rFonts w:ascii="Times New Roman"/>
          <w:b w:val="false"/>
          <w:i/>
          <w:color w:val="000000"/>
          <w:sz w:val="28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отчетном периоде;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p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/>
          <w:color w:val="000000"/>
          <w:sz w:val="28"/>
        </w:rPr>
        <w:t>, p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/>
          <w:color w:val="000000"/>
          <w:sz w:val="28"/>
        </w:rPr>
        <w:t>,…,p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цены на материалы-представители в отчетном периоде;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материалов-представителей.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Средние цены исчисляются за определенный период времени, по территории, по видам строительных материалов и их однородным группам. При расчете средней цены во внимание принимается равенство количества цен материалов-представителей в сравниваемых периодах.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Средняя цена по материалам-представителям, видам строительных материалов по Республике Казахстан формируется как средневзвешенная величина из уровня цен по регионам и их удельного веса по формуле: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0"/>
    <w:p>
      <w:pPr>
        <w:spacing w:after="0"/>
        <w:ind w:left="0"/>
        <w:jc w:val="both"/>
      </w:pPr>
      <w:r>
        <w:drawing>
          <wp:inline distT="0" distB="0" distL="0" distR="0">
            <wp:extent cx="26670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                        (18)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P</w:t>
      </w:r>
      <w:r>
        <w:rPr>
          <w:rFonts w:ascii="Times New Roman"/>
          <w:b w:val="false"/>
          <w:i w:val="false"/>
          <w:color w:val="000000"/>
          <w:vertAlign w:val="subscript"/>
        </w:rPr>
        <w:t>RKt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средняя цена по Республике Казахстан в период </w:t>
      </w:r>
      <w:r>
        <w:rPr>
          <w:rFonts w:ascii="Times New Roman"/>
          <w:b w:val="false"/>
          <w:i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P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средняя цена по региону в период </w:t>
      </w:r>
      <w:r>
        <w:rPr>
          <w:rFonts w:ascii="Times New Roman"/>
          <w:b w:val="false"/>
          <w:i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V</w:t>
      </w:r>
      <w:r>
        <w:rPr>
          <w:rFonts w:ascii="Times New Roman"/>
          <w:b w:val="false"/>
          <w:i w:val="false"/>
          <w:color w:val="000000"/>
          <w:vertAlign w:val="sub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стоимостные данные (базисные веса) по региону за определенный базовый период.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Исчисленные средние цены не являются репрезентативными, отражающими уровень цен всей совокупности изучаемого явления, если они сформированы из цен менее чем трех различных базовых объектов, отчитавшихся в отчетном периоде. Такие цены по видам строительных материалов не публикуются, но используются для дальнейших расчетов средних цен и индексов цен более высокого уровня агрегации.</w:t>
      </w:r>
    </w:p>
    <w:bookmarkEnd w:id="195"/>
    <w:bookmarkStart w:name="z205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Индекс цен на машины и оборудование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Индекс цен на машины и оборудование (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MO</w:t>
      </w:r>
      <w:r>
        <w:rPr>
          <w:rFonts w:ascii="Times New Roman"/>
          <w:b w:val="false"/>
          <w:i w:val="false"/>
          <w:color w:val="000000"/>
          <w:sz w:val="28"/>
        </w:rPr>
        <w:t>) в составе индекса цен в строительстве (price index) характеризует изменение цен на технологическое и инженерное оборудование объектов, приобретаемое для строительного производства.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стоимость машин и оборудования включается стоимость приобретения (изготовления) и доставки на приобъектный склад: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комплексов всех видов монтируемого или не монтируемого оборудования (технологического, энергетического, подъемно-транспортного, насосно-компрессорного и другого, оборудования электронно-вычислительных центров, лабораторий, мастерских различного назначения, медицинских кабинетов);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контрольно-измерительных приборов, средств автоматизации и связи;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инструментов, инвентаря, штампов, приспособлений, оснастки, запасных частей, специальных контейнеров для транспортировки полуфабрикатов или готовой продукции, включаемых в первоначальный фонд вводимых в действие производств;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оборудования, инструмента, инвентаря, мебели и других предметов внутреннего убранства, требующихся для первоначального оснащения общежитий, объектов коммунального хозяйства, просвещения, культуры, здравоохранения, торговли.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Приобретение машин и оборудования рассматривается в видах экономической деятельности, для которых разработаны РТМ, и оценивается в ценах приобретения. 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составляющими цен приобретения являются цены производителей или цены импортных поставок, транспортные расходы по доставке, различные платежи и налоги. Доля каждого составляющего в ценах приобретения машин и оборудования определяется из статистических таблиц "Ресурсы-Использование" (далее – ТРИ), содержащих стоимостные данные об использовании машин и оборудования соответствующим видом экономической деятельности. Их изменение оценивается индексами цен производителей отечественного оборудования и импортных поставок, индексами тарифов на перевозку строительных грузов железнодорожным и автомобильным транспортом, изменением ставки налога на добавленную стоимость.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Индекс цен на машины и оборудование рассчитывается по формуле: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MO</w:t>
      </w:r>
      <w:r>
        <w:rPr>
          <w:rFonts w:ascii="Times New Roman"/>
          <w:b w:val="false"/>
          <w:i w:val="false"/>
          <w:color w:val="000000"/>
          <w:sz w:val="28"/>
        </w:rPr>
        <w:t xml:space="preserve"> =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Proiz</w:t>
      </w:r>
      <w:r>
        <w:rPr>
          <w:rFonts w:ascii="Times New Roman"/>
          <w:b w:val="false"/>
          <w:i w:val="false"/>
          <w:color w:val="000000"/>
          <w:sz w:val="28"/>
        </w:rPr>
        <w:t xml:space="preserve"> x </w:t>
      </w:r>
      <w:r>
        <w:rPr>
          <w:rFonts w:ascii="Times New Roman"/>
          <w:b w:val="false"/>
          <w:i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vertAlign w:val="subscript"/>
        </w:rPr>
        <w:t>Proiz</w:t>
      </w:r>
      <w:r>
        <w:rPr>
          <w:rFonts w:ascii="Times New Roman"/>
          <w:b w:val="false"/>
          <w:i w:val="false"/>
          <w:color w:val="000000"/>
          <w:sz w:val="28"/>
        </w:rPr>
        <w:t xml:space="preserve"> +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gruz</w:t>
      </w:r>
      <w:r>
        <w:rPr>
          <w:rFonts w:ascii="Times New Roman"/>
          <w:b w:val="false"/>
          <w:i w:val="false"/>
          <w:color w:val="000000"/>
          <w:sz w:val="28"/>
        </w:rPr>
        <w:t xml:space="preserve"> x </w:t>
      </w:r>
      <w:r>
        <w:rPr>
          <w:rFonts w:ascii="Times New Roman"/>
          <w:b w:val="false"/>
          <w:i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vertAlign w:val="subscript"/>
        </w:rPr>
        <w:t>gruz</w:t>
      </w:r>
      <w:r>
        <w:rPr>
          <w:rFonts w:ascii="Times New Roman"/>
          <w:b w:val="false"/>
          <w:i w:val="false"/>
          <w:color w:val="000000"/>
          <w:sz w:val="28"/>
        </w:rPr>
        <w:t xml:space="preserve"> +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NDS</w:t>
      </w:r>
      <w:r>
        <w:rPr>
          <w:rFonts w:ascii="Times New Roman"/>
          <w:b w:val="false"/>
          <w:i w:val="false"/>
          <w:color w:val="000000"/>
          <w:sz w:val="28"/>
        </w:rPr>
        <w:t xml:space="preserve"> x </w:t>
      </w:r>
      <w:r>
        <w:rPr>
          <w:rFonts w:ascii="Times New Roman"/>
          <w:b w:val="false"/>
          <w:i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vertAlign w:val="subscript"/>
        </w:rPr>
        <w:t>NDS</w:t>
      </w:r>
      <w:r>
        <w:rPr>
          <w:rFonts w:ascii="Times New Roman"/>
          <w:b w:val="false"/>
          <w:i w:val="false"/>
          <w:color w:val="000000"/>
          <w:sz w:val="28"/>
        </w:rPr>
        <w:t>,                        (19)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MO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индекс цен на машины и оборудование;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Proiz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индекс цен производителей, включая импорт, на машины и оборудование; 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gruz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индекс тарифов на перевозку строительных грузов автомобильным и железнодорожным транспортом;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NDS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изменение ставки налога на добавленную стоимость;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vertAlign w:val="subscript"/>
        </w:rPr>
        <w:t>Proiz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vertAlign w:val="subscript"/>
        </w:rPr>
        <w:t>gruz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vertAlign w:val="subscript"/>
        </w:rPr>
        <w:t>NDS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доля, соответственно, цен производителей, транспортных расходов, платежей и налогов в стоимости приобретенного оборудования.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Расчет индекса цен производителей, включая импорт, на машины и оборудование (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Proiz</w:t>
      </w:r>
      <w:r>
        <w:rPr>
          <w:rFonts w:ascii="Times New Roman"/>
          <w:b w:val="false"/>
          <w:i w:val="false"/>
          <w:color w:val="000000"/>
          <w:sz w:val="28"/>
        </w:rPr>
        <w:t>) осуществляется по каждой отобранной группе оборудования и виду экономической деятельности по формуле: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Ij</w:t>
      </w:r>
      <w:r>
        <w:rPr>
          <w:rFonts w:ascii="Times New Roman"/>
          <w:b w:val="false"/>
          <w:i w:val="false"/>
          <w:color w:val="000000"/>
          <w:vertAlign w:val="subscript"/>
        </w:rPr>
        <w:t>Proiz</w:t>
      </w:r>
      <w:r>
        <w:rPr>
          <w:rFonts w:ascii="Times New Roman"/>
          <w:b w:val="false"/>
          <w:i w:val="false"/>
          <w:color w:val="000000"/>
          <w:sz w:val="28"/>
        </w:rPr>
        <w:t xml:space="preserve"> =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rk</w:t>
      </w:r>
      <w:r>
        <w:rPr>
          <w:rFonts w:ascii="Times New Roman"/>
          <w:b w:val="false"/>
          <w:i w:val="false"/>
          <w:color w:val="000000"/>
          <w:sz w:val="28"/>
        </w:rPr>
        <w:t xml:space="preserve"> x </w:t>
      </w:r>
      <w:r>
        <w:rPr>
          <w:rFonts w:ascii="Times New Roman"/>
          <w:b w:val="false"/>
          <w:i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vertAlign w:val="subscript"/>
        </w:rPr>
        <w:t>rk</w:t>
      </w:r>
      <w:r>
        <w:rPr>
          <w:rFonts w:ascii="Times New Roman"/>
          <w:b w:val="false"/>
          <w:i w:val="false"/>
          <w:color w:val="000000"/>
          <w:sz w:val="28"/>
        </w:rPr>
        <w:t xml:space="preserve"> +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imp</w:t>
      </w:r>
      <w:r>
        <w:rPr>
          <w:rFonts w:ascii="Times New Roman"/>
          <w:b w:val="false"/>
          <w:i w:val="false"/>
          <w:color w:val="000000"/>
          <w:sz w:val="28"/>
        </w:rPr>
        <w:t xml:space="preserve"> x </w:t>
      </w:r>
      <w:r>
        <w:rPr>
          <w:rFonts w:ascii="Times New Roman"/>
          <w:b w:val="false"/>
          <w:i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vertAlign w:val="subscript"/>
        </w:rPr>
        <w:t>imp</w:t>
      </w:r>
      <w:r>
        <w:rPr>
          <w:rFonts w:ascii="Times New Roman"/>
          <w:b w:val="false"/>
          <w:i w:val="false"/>
          <w:color w:val="000000"/>
          <w:sz w:val="28"/>
        </w:rPr>
        <w:t>,                              (20)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Ij</w:t>
      </w:r>
      <w:r>
        <w:rPr>
          <w:rFonts w:ascii="Times New Roman"/>
          <w:b w:val="false"/>
          <w:i w:val="false"/>
          <w:color w:val="000000"/>
          <w:vertAlign w:val="subscript"/>
        </w:rPr>
        <w:t>Proiz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индекс цен производителей, включая импорт, на машины и оборудование вида экономической деятельности </w:t>
      </w:r>
      <w:r>
        <w:rPr>
          <w:rFonts w:ascii="Times New Roman"/>
          <w:b w:val="false"/>
          <w:i/>
          <w:color w:val="000000"/>
          <w:sz w:val="28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rk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imp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индексы цен на отечественное (</w:t>
      </w:r>
      <w:r>
        <w:rPr>
          <w:rFonts w:ascii="Times New Roman"/>
          <w:b w:val="false"/>
          <w:i/>
          <w:color w:val="000000"/>
          <w:sz w:val="28"/>
        </w:rPr>
        <w:t>rk</w:t>
      </w:r>
      <w:r>
        <w:rPr>
          <w:rFonts w:ascii="Times New Roman"/>
          <w:b w:val="false"/>
          <w:i w:val="false"/>
          <w:color w:val="000000"/>
          <w:sz w:val="28"/>
        </w:rPr>
        <w:t>) и импортное (</w:t>
      </w:r>
      <w:r>
        <w:rPr>
          <w:rFonts w:ascii="Times New Roman"/>
          <w:b w:val="false"/>
          <w:i/>
          <w:color w:val="000000"/>
          <w:sz w:val="28"/>
        </w:rPr>
        <w:t>imp</w:t>
      </w:r>
      <w:r>
        <w:rPr>
          <w:rFonts w:ascii="Times New Roman"/>
          <w:b w:val="false"/>
          <w:i w:val="false"/>
          <w:color w:val="000000"/>
          <w:sz w:val="28"/>
        </w:rPr>
        <w:t xml:space="preserve">) оборудование; 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vertAlign w:val="subscript"/>
        </w:rPr>
        <w:t>rk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vertAlign w:val="subscript"/>
        </w:rPr>
        <w:t>imp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доля отечественного (</w:t>
      </w:r>
      <w:r>
        <w:rPr>
          <w:rFonts w:ascii="Times New Roman"/>
          <w:b w:val="false"/>
          <w:i/>
          <w:color w:val="000000"/>
          <w:sz w:val="28"/>
        </w:rPr>
        <w:t>rk</w:t>
      </w:r>
      <w:r>
        <w:rPr>
          <w:rFonts w:ascii="Times New Roman"/>
          <w:b w:val="false"/>
          <w:i w:val="false"/>
          <w:color w:val="000000"/>
          <w:sz w:val="28"/>
        </w:rPr>
        <w:t>) и импортного (</w:t>
      </w:r>
      <w:r>
        <w:rPr>
          <w:rFonts w:ascii="Times New Roman"/>
          <w:b w:val="false"/>
          <w:i/>
          <w:color w:val="000000"/>
          <w:sz w:val="28"/>
        </w:rPr>
        <w:t>imp</w:t>
      </w:r>
      <w:r>
        <w:rPr>
          <w:rFonts w:ascii="Times New Roman"/>
          <w:b w:val="false"/>
          <w:i w:val="false"/>
          <w:color w:val="000000"/>
          <w:sz w:val="28"/>
        </w:rPr>
        <w:t xml:space="preserve">) оборудования вида экономической деятельности </w:t>
      </w:r>
      <w:r>
        <w:rPr>
          <w:rFonts w:ascii="Times New Roman"/>
          <w:b w:val="false"/>
          <w:i/>
          <w:color w:val="000000"/>
          <w:sz w:val="28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Доли отечественного и импортного оборудования определяются на основании ТРИ по данным о соотношении стоимости оборудования отечественного производства и импортированного в страну.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год, приближенный к отчетному, определяется перечень оборудования, потребляемого в ходе освоения инвестиций в строительство по каждому виду экономической деятельности в отдельности. В перечень включаются технологически однородные группы оборудования с учетом следующих критериев: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данная группа оборудования отражает специфику соответствующего вида деятельности;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совокупность видов оборудования, входящих в отобранную группу, охватывает не менее половины стоимостного объема всех машин и оборудования этого вида деятельности;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отобранной группы оборудования имеется соответствующая статистическая информация об изменении цен производителей и цен импортных поставок.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отобранных групп оборудования условно принимается за общую стоимость инвестиций в используемые машины и оборудования данного вида экономической деятельности, исходя из которой определяются удельные веса учитываемого вида оборудования (</w:t>
      </w:r>
      <w:r>
        <w:rPr>
          <w:rFonts w:ascii="Times New Roman"/>
          <w:b w:val="false"/>
          <w:i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Индекс цен производителей, включая импорт, на машины и оборудование по всем видам экономической деятельности определяется как средневзвешенная величина: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6"/>
    <w:p>
      <w:pPr>
        <w:spacing w:after="0"/>
        <w:ind w:left="0"/>
        <w:jc w:val="both"/>
      </w:pPr>
      <w:r>
        <w:drawing>
          <wp:inline distT="0" distB="0" distL="0" distR="0">
            <wp:extent cx="22352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                              (21)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Proiz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индекс цен производителей, включая импорт, на машины и оборудование;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Ij</w:t>
      </w:r>
      <w:r>
        <w:rPr>
          <w:rFonts w:ascii="Times New Roman"/>
          <w:b w:val="false"/>
          <w:i w:val="false"/>
          <w:color w:val="000000"/>
          <w:vertAlign w:val="subscript"/>
        </w:rPr>
        <w:t>Proiz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индекс цен на машины и оборудование вида экономической деятельности </w:t>
      </w:r>
      <w:r>
        <w:rPr>
          <w:rFonts w:ascii="Times New Roman"/>
          <w:b w:val="false"/>
          <w:i/>
          <w:color w:val="000000"/>
          <w:sz w:val="28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оборудования вида экономической деятельности </w:t>
      </w:r>
      <w:r>
        <w:rPr>
          <w:rFonts w:ascii="Times New Roman"/>
          <w:b w:val="false"/>
          <w:i/>
          <w:color w:val="000000"/>
          <w:sz w:val="28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видов экономической деятельности.</w:t>
      </w:r>
    </w:p>
    <w:bookmarkEnd w:id="231"/>
    <w:bookmarkStart w:name="z241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Индекс цен на прочие работы и затраты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Построение индекса цен на прочие работы и затраты (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PRZ</w:t>
      </w:r>
      <w:r>
        <w:rPr>
          <w:rFonts w:ascii="Times New Roman"/>
          <w:b w:val="false"/>
          <w:i w:val="false"/>
          <w:color w:val="000000"/>
          <w:sz w:val="28"/>
        </w:rPr>
        <w:t>) в составе индекса цен в строительстве (price index) осуществляется путем учета изменения цен по следующим основным видам затрат: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проектно-изыскательские работы для строительства;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подготовку (освоение) территории строительства.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проведение геодезических работ;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затраты, связанные с командированием рабочих для выполнения строительных, монтажных и специальных строительных работ и другие дополнительные затраты. 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Структура расходов по затратам на проектно-изыскательские работы для строительства и проведение геодезических работ определяется по данным общегосударственного статистического наблюдения о производственно-финансовой деятельности организаций в части расходов на осуществление основной деятельности. Для каждой группы затрат исчисляются доли статей, являющихся основными переменными: сырье и материалы, топливо и энергия, оплата труда, прочие затраты.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цен по группе затрат рассчитывается с учетом доли каждой статьи в общих расходах предприятий данного вида экономической деятельности по формуле: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0"/>
    <w:p>
      <w:pPr>
        <w:spacing w:after="0"/>
        <w:ind w:left="0"/>
        <w:jc w:val="both"/>
      </w:pPr>
      <w:r>
        <w:drawing>
          <wp:inline distT="0" distB="0" distL="0" distR="0">
            <wp:extent cx="20447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                        (22)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gPRZ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индекс цен на прочие работы и затраты по группе;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vertAlign w:val="subscript"/>
        </w:rPr>
        <w:t>e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доля элемента затрат группы;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e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индекс цен по элементу затрат в группе.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Изменение цен на подготовку (освоение) территории строительства и затраты, связанные с командированием рабочих, оцениваются через индексы цен в отдельных отраслях реального и потребительского секторов.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Для агрегирования индекса цен на прочие работы и затраты используется формула среднего геометрического: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7"/>
    <w:p>
      <w:pPr>
        <w:spacing w:after="0"/>
        <w:ind w:left="0"/>
        <w:jc w:val="both"/>
      </w:pPr>
      <w:r>
        <w:drawing>
          <wp:inline distT="0" distB="0" distL="0" distR="0">
            <wp:extent cx="19050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                        (23)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PRZ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индекс цен на прочие работы и затраты;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индексы цен на составляющие прочих работ и затрат;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число составляющих, входящих в прочие работы и затраты.</w:t>
      </w:r>
    </w:p>
    <w:bookmarkEnd w:id="251"/>
    <w:bookmarkStart w:name="z261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Построение индексов цен по периодам сравнения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Цепным индексом, отражающим последовательность изменения цен из периода в период, являются индексы цен отчетного месяца по сравнению с предыдущим месяцем. Базисным индексом, дающим характеристику тенденции изменения цен во времени, являются индексы цен отчетного месяца к определенному базовому периоду.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расчета индексов цен к различным периодам сравнения (декабрю предыдущего года, соответствующему месяцу прошлого года, соответствующему периоду прошлого года, квартальных) осуществляется увязка цепных индексов цен между собой за два последовательных года. В результате образуется индексный динамический ряд, имеющий постоянную точку отсчета, или динамический ряд базисных индексов цен.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Индекс цен к декабрю предыдущего года находится по формуле: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Id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=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x </w:t>
      </w:r>
      <w:r>
        <w:rPr>
          <w:rFonts w:ascii="Times New Roman"/>
          <w:b w:val="false"/>
          <w:i/>
          <w:color w:val="000000"/>
          <w:sz w:val="28"/>
        </w:rPr>
        <w:t>Id</w:t>
      </w:r>
      <w:r>
        <w:rPr>
          <w:rFonts w:ascii="Times New Roman"/>
          <w:b w:val="false"/>
          <w:i w:val="false"/>
          <w:color w:val="000000"/>
          <w:vertAlign w:val="subscript"/>
        </w:rPr>
        <w:t>(t-1)</w:t>
      </w:r>
      <w:r>
        <w:rPr>
          <w:rFonts w:ascii="Times New Roman"/>
          <w:b w:val="false"/>
          <w:i w:val="false"/>
          <w:color w:val="000000"/>
          <w:sz w:val="28"/>
        </w:rPr>
        <w:t>,                              (24)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Id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индекс цен отчетного месяца </w:t>
      </w:r>
      <w:r>
        <w:rPr>
          <w:rFonts w:ascii="Times New Roman"/>
          <w:b w:val="false"/>
          <w:i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декабрю предыдущего года;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индекс цен отчетного месяца </w:t>
      </w:r>
      <w:r>
        <w:rPr>
          <w:rFonts w:ascii="Times New Roman"/>
          <w:b w:val="false"/>
          <w:i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предыдущему месяцу </w:t>
      </w:r>
      <w:r>
        <w:rPr>
          <w:rFonts w:ascii="Times New Roman"/>
          <w:b w:val="false"/>
          <w:i/>
          <w:color w:val="000000"/>
          <w:sz w:val="28"/>
        </w:rPr>
        <w:t>t-1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Id</w:t>
      </w:r>
      <w:r>
        <w:rPr>
          <w:rFonts w:ascii="Times New Roman"/>
          <w:b w:val="false"/>
          <w:i w:val="false"/>
          <w:color w:val="000000"/>
          <w:vertAlign w:val="subscript"/>
        </w:rPr>
        <w:t>(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vertAlign w:val="subscript"/>
        </w:rPr>
        <w:t>-1</w:t>
      </w:r>
      <w:r>
        <w:rPr>
          <w:rFonts w:ascii="Times New Roman"/>
          <w:b w:val="false"/>
          <w:i w:val="false"/>
          <w:color w:val="000000"/>
          <w:vertAlign w:val="subscript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индекс цен предыдущего месяца </w:t>
      </w:r>
      <w:r>
        <w:rPr>
          <w:rFonts w:ascii="Times New Roman"/>
          <w:b w:val="false"/>
          <w:i/>
          <w:color w:val="000000"/>
          <w:sz w:val="28"/>
        </w:rPr>
        <w:t>t-1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декабрю предыдущего года.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Индекс цен за месяц отчетного года к определенному базовому периоду рассчитывается по формуле: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Ig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= </w:t>
      </w:r>
      <w:r>
        <w:rPr>
          <w:rFonts w:ascii="Times New Roman"/>
          <w:b w:val="false"/>
          <w:i/>
          <w:color w:val="000000"/>
          <w:sz w:val="28"/>
        </w:rPr>
        <w:t>Id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x </w:t>
      </w:r>
      <w:r>
        <w:rPr>
          <w:rFonts w:ascii="Times New Roman"/>
          <w:b w:val="false"/>
          <w:i/>
          <w:color w:val="000000"/>
          <w:sz w:val="28"/>
        </w:rPr>
        <w:t>Igd</w:t>
      </w:r>
      <w:r>
        <w:rPr>
          <w:rFonts w:ascii="Times New Roman"/>
          <w:b w:val="false"/>
          <w:i w:val="false"/>
          <w:color w:val="000000"/>
          <w:vertAlign w:val="subscript"/>
        </w:rPr>
        <w:t>(g12)</w:t>
      </w:r>
      <w:r>
        <w:rPr>
          <w:rFonts w:ascii="Times New Roman"/>
          <w:b w:val="false"/>
          <w:i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                        (25)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Ig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индекс цен отчетного месяца </w:t>
      </w:r>
      <w:r>
        <w:rPr>
          <w:rFonts w:ascii="Times New Roman"/>
          <w:b w:val="false"/>
          <w:i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установленному базовому периоду года </w:t>
      </w:r>
      <w:r>
        <w:rPr>
          <w:rFonts w:ascii="Times New Roman"/>
          <w:b w:val="false"/>
          <w:i/>
          <w:color w:val="000000"/>
          <w:sz w:val="28"/>
        </w:rPr>
        <w:t>g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Id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индекс цен отчетного месяца </w:t>
      </w:r>
      <w:r>
        <w:rPr>
          <w:rFonts w:ascii="Times New Roman"/>
          <w:b w:val="false"/>
          <w:i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декабрю предыдущего года;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Igd</w:t>
      </w:r>
      <w:r>
        <w:rPr>
          <w:rFonts w:ascii="Times New Roman"/>
          <w:b w:val="false"/>
          <w:i w:val="false"/>
          <w:color w:val="000000"/>
          <w:vertAlign w:val="subscript"/>
        </w:rPr>
        <w:t>(</w:t>
      </w:r>
      <w:r>
        <w:rPr>
          <w:rFonts w:ascii="Times New Roman"/>
          <w:b w:val="false"/>
          <w:i w:val="false"/>
          <w:color w:val="000000"/>
          <w:vertAlign w:val="subscript"/>
        </w:rPr>
        <w:t>g</w:t>
      </w:r>
      <w:r>
        <w:rPr>
          <w:rFonts w:ascii="Times New Roman"/>
          <w:b w:val="false"/>
          <w:i w:val="false"/>
          <w:color w:val="000000"/>
          <w:vertAlign w:val="subscript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индекс цен декабря предыдущего года </w:t>
      </w:r>
      <w:r>
        <w:rPr>
          <w:rFonts w:ascii="Times New Roman"/>
          <w:b w:val="false"/>
          <w:i/>
          <w:color w:val="000000"/>
          <w:sz w:val="28"/>
        </w:rPr>
        <w:t>g12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установленному базовому периоду года </w:t>
      </w:r>
      <w:r>
        <w:rPr>
          <w:rFonts w:ascii="Times New Roman"/>
          <w:b w:val="false"/>
          <w:i/>
          <w:color w:val="000000"/>
          <w:sz w:val="28"/>
        </w:rPr>
        <w:t>g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Последняя составляющая является постоянной величиной при расчетах для всех месяцев отчетного года.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Расчет месячных индексов цен отчетного года к соответствующему месяцу прошлого года осуществляется делением месячного индекса цен отчетного года на месячный индекс цен предыдущего года, в одном двухгодичном динамическом ряду по формуле: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9"/>
    <w:p>
      <w:pPr>
        <w:spacing w:after="0"/>
        <w:ind w:left="0"/>
        <w:jc w:val="both"/>
      </w:pPr>
      <w:r>
        <w:drawing>
          <wp:inline distT="0" distB="0" distL="0" distR="0">
            <wp:extent cx="1892300" cy="99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                        (26)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индекс цен за месяц </w:t>
      </w:r>
      <w:r>
        <w:rPr>
          <w:rFonts w:ascii="Times New Roman"/>
          <w:b w:val="false"/>
          <w:i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отчетного года </w:t>
      </w:r>
      <w:r>
        <w:rPr>
          <w:rFonts w:ascii="Times New Roman"/>
          <w:b w:val="false"/>
          <w:i/>
          <w:color w:val="000000"/>
          <w:sz w:val="28"/>
        </w:rPr>
        <w:t>g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соответствующему месяцу предыдущего года </w:t>
      </w:r>
      <w:r>
        <w:rPr>
          <w:rFonts w:ascii="Times New Roman"/>
          <w:b w:val="false"/>
          <w:i/>
          <w:color w:val="000000"/>
          <w:sz w:val="28"/>
        </w:rPr>
        <w:t>g-1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It</w:t>
      </w:r>
      <w:r>
        <w:rPr>
          <w:rFonts w:ascii="Times New Roman"/>
          <w:b w:val="false"/>
          <w:i w:val="false"/>
          <w:color w:val="000000"/>
          <w:vertAlign w:val="subscript"/>
        </w:rPr>
        <w:t>g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индекс цен месяца </w:t>
      </w:r>
      <w:r>
        <w:rPr>
          <w:rFonts w:ascii="Times New Roman"/>
          <w:b w:val="false"/>
          <w:i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отчетного года </w:t>
      </w:r>
      <w:r>
        <w:rPr>
          <w:rFonts w:ascii="Times New Roman"/>
          <w:b w:val="false"/>
          <w:i/>
          <w:color w:val="000000"/>
          <w:sz w:val="28"/>
        </w:rPr>
        <w:t>g</w:t>
      </w:r>
      <w:r>
        <w:rPr>
          <w:rFonts w:ascii="Times New Roman"/>
          <w:b w:val="false"/>
          <w:i w:val="false"/>
          <w:color w:val="000000"/>
          <w:sz w:val="28"/>
        </w:rPr>
        <w:t xml:space="preserve"> в индексном ряду;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It</w:t>
      </w:r>
      <w:r>
        <w:rPr>
          <w:rFonts w:ascii="Times New Roman"/>
          <w:b w:val="false"/>
          <w:i w:val="false"/>
          <w:color w:val="000000"/>
          <w:vertAlign w:val="subscript"/>
        </w:rPr>
        <w:t>(g-1)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индекс цен месяца </w:t>
      </w:r>
      <w:r>
        <w:rPr>
          <w:rFonts w:ascii="Times New Roman"/>
          <w:b w:val="false"/>
          <w:i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предыдущего года </w:t>
      </w:r>
      <w:r>
        <w:rPr>
          <w:rFonts w:ascii="Times New Roman"/>
          <w:b w:val="false"/>
          <w:i/>
          <w:color w:val="000000"/>
          <w:sz w:val="28"/>
        </w:rPr>
        <w:t>g-1</w:t>
      </w:r>
      <w:r>
        <w:rPr>
          <w:rFonts w:ascii="Times New Roman"/>
          <w:b w:val="false"/>
          <w:i w:val="false"/>
          <w:color w:val="000000"/>
          <w:sz w:val="28"/>
        </w:rPr>
        <w:t xml:space="preserve"> в индексном ряду.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Индексы цен нарастающим итогом отчетного периода к соответствующему периоду прошлого года определяются как частное от деления суммы месячных индексов цен отчетного периода на сумму месячных индексов цен предыдущего года, одного двухгодичного динамического ряда по формуле: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5"/>
    <w:p>
      <w:pPr>
        <w:spacing w:after="0"/>
        <w:ind w:left="0"/>
        <w:jc w:val="both"/>
      </w:pPr>
      <w:r>
        <w:drawing>
          <wp:inline distT="0" distB="0" distL="0" distR="0">
            <wp:extent cx="4178300" cy="85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1783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            (27)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7"/>
    <w:p>
      <w:pPr>
        <w:spacing w:after="0"/>
        <w:ind w:left="0"/>
        <w:jc w:val="both"/>
      </w:pPr>
      <w:r>
        <w:drawing>
          <wp:inline distT="0" distB="0" distL="0" distR="0">
            <wp:extent cx="3937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индекс цен за январь-декабрь отчетного года к январю-декабрю предыдущего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1g</w:t>
      </w:r>
      <w:r>
        <w:rPr>
          <w:rFonts w:ascii="Times New Roman"/>
          <w:b w:val="false"/>
          <w:i/>
          <w:color w:val="000000"/>
          <w:sz w:val="28"/>
        </w:rPr>
        <w:t>, I</w:t>
      </w:r>
      <w:r>
        <w:rPr>
          <w:rFonts w:ascii="Times New Roman"/>
          <w:b w:val="false"/>
          <w:i w:val="false"/>
          <w:color w:val="000000"/>
          <w:vertAlign w:val="subscript"/>
        </w:rPr>
        <w:t>2g</w:t>
      </w:r>
      <w:r>
        <w:rPr>
          <w:rFonts w:ascii="Times New Roman"/>
          <w:b w:val="false"/>
          <w:i/>
          <w:color w:val="000000"/>
          <w:sz w:val="28"/>
        </w:rPr>
        <w:t>, ..., I</w:t>
      </w:r>
      <w:r>
        <w:rPr>
          <w:rFonts w:ascii="Times New Roman"/>
          <w:b w:val="false"/>
          <w:i w:val="false"/>
          <w:color w:val="000000"/>
          <w:vertAlign w:val="subscript"/>
        </w:rPr>
        <w:t>12g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индексы цен за январь, февраль, ..., декабрь отчетного года в индексном ряду;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1(g-1)</w:t>
      </w:r>
      <w:r>
        <w:rPr>
          <w:rFonts w:ascii="Times New Roman"/>
          <w:b w:val="false"/>
          <w:i/>
          <w:color w:val="000000"/>
          <w:sz w:val="28"/>
        </w:rPr>
        <w:t>, I</w:t>
      </w:r>
      <w:r>
        <w:rPr>
          <w:rFonts w:ascii="Times New Roman"/>
          <w:b w:val="false"/>
          <w:i w:val="false"/>
          <w:color w:val="000000"/>
          <w:vertAlign w:val="subscript"/>
        </w:rPr>
        <w:t>2(g-1)</w:t>
      </w:r>
      <w:r>
        <w:rPr>
          <w:rFonts w:ascii="Times New Roman"/>
          <w:b w:val="false"/>
          <w:i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…</w:t>
      </w:r>
      <w:r>
        <w:rPr>
          <w:rFonts w:ascii="Times New Roman"/>
          <w:b w:val="false"/>
          <w:i/>
          <w:color w:val="000000"/>
          <w:sz w:val="28"/>
        </w:rPr>
        <w:t xml:space="preserve"> I</w:t>
      </w:r>
      <w:r>
        <w:rPr>
          <w:rFonts w:ascii="Times New Roman"/>
          <w:b w:val="false"/>
          <w:i w:val="false"/>
          <w:color w:val="000000"/>
          <w:vertAlign w:val="subscript"/>
        </w:rPr>
        <w:t>12(g-1)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индексы цен за январь, февраль, ..., декабрь предыдущего года в индексном ряду.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Аналогично рассчитываются индексы цен за квартал, полугодие и девять месяцев отчетного года к соответствующему периоду прошлого года.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Индексы цен за отчетный квартал к предыдущему кварталу рассчитываются отношением суммы месячных индексов цен, входящих в квартал, в двухгодичном динамическом ряду к сумме месячных индексов цен предыдущего периода, по формуле: 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2"/>
    <w:p>
      <w:pPr>
        <w:spacing w:after="0"/>
        <w:ind w:left="0"/>
        <w:jc w:val="both"/>
      </w:pPr>
      <w:r>
        <w:drawing>
          <wp:inline distT="0" distB="0" distL="0" distR="0">
            <wp:extent cx="3276600" cy="97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                        (28)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4"/>
    <w:p>
      <w:pPr>
        <w:spacing w:after="0"/>
        <w:ind w:left="0"/>
        <w:jc w:val="both"/>
      </w:pPr>
      <w:r>
        <w:drawing>
          <wp:inline distT="0" distB="0" distL="0" distR="0">
            <wp:extent cx="4445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индекс цен второго квартала отчетного года к первому кварталу;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4g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5g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6g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индексы цен за апрель, май, июнь отчетного года в индексном ряду;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1g</w:t>
      </w:r>
      <w:r>
        <w:rPr>
          <w:rFonts w:ascii="Times New Roman"/>
          <w:b w:val="false"/>
          <w:i/>
          <w:color w:val="000000"/>
          <w:sz w:val="28"/>
        </w:rPr>
        <w:t>, I</w:t>
      </w:r>
      <w:r>
        <w:rPr>
          <w:rFonts w:ascii="Times New Roman"/>
          <w:b w:val="false"/>
          <w:i w:val="false"/>
          <w:color w:val="000000"/>
          <w:vertAlign w:val="subscript"/>
        </w:rPr>
        <w:t>2g</w:t>
      </w:r>
      <w:r>
        <w:rPr>
          <w:rFonts w:ascii="Times New Roman"/>
          <w:b w:val="false"/>
          <w:i/>
          <w:color w:val="000000"/>
          <w:sz w:val="28"/>
        </w:rPr>
        <w:t>, I</w:t>
      </w:r>
      <w:r>
        <w:rPr>
          <w:rFonts w:ascii="Times New Roman"/>
          <w:b w:val="false"/>
          <w:i w:val="false"/>
          <w:color w:val="000000"/>
          <w:vertAlign w:val="subscript"/>
        </w:rPr>
        <w:t>3g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индексы цен за январь, февраль, март отчетного года в индексном ряду.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Указанные формулы расчета индексов цен применяются для построения динамических рядов индексов на всех ступенях агрегации (индивидуальных, групповых, сводного) по каждой составляющей индекса цен в строительстве в отдельности.</w:t>
      </w:r>
    </w:p>
    <w:bookmarkEnd w:id="287"/>
    <w:bookmarkStart w:name="z297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Распространение официальной статистической информации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Индексы цен в строительстве публикуются ежемесячно согласно срокам Плана статистических работ. Информация об изменении цен распространяется одновременно для всех пользователей на интернет-ресурсе Бюро национальной статистики. Для пользователей публикация индексов цен сопровождается краткими методологическими пояснениями.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52 - в редакции приказа Руководителя Бюро национальной статистики Агентства по стратегическому планированию и реформам РК от 17.01.2025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построения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индексов цен в строительстве</w:t>
            </w:r>
          </w:p>
        </w:tc>
      </w:tr>
    </w:tbl>
    <w:bookmarkStart w:name="z302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элементов строительных индексов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Индекс стоимости строительства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(cost index)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Индекс цен в строительстве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(price index)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(включаются элементы, оплаченные подрядчиком)</w:t>
            </w:r>
          </w:p>
          <w:bookmarkEnd w:id="2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(включаются элементы, оплаченные заказчиком)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  <w:bookmarkEnd w:id="2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сила</w:t>
            </w:r>
          </w:p>
          <w:bookmarkEnd w:id="2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сила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</w:t>
            </w:r>
          </w:p>
          <w:bookmarkEnd w:id="2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транспорта и другие</w:t>
            </w:r>
          </w:p>
          <w:bookmarkEnd w:id="2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транспорта и другие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Накладные расходы</w:t>
            </w:r>
          </w:p>
          <w:bookmarkEnd w:id="2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Накладные расходы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подрядчика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затраты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построения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индексов цен в строительстве</w:t>
            </w:r>
          </w:p>
        </w:tc>
      </w:tr>
    </w:tbl>
    <w:bookmarkStart w:name="z317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Формирование статей затрат ресурсного и стоимостного блоков РТМ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блоков РТМ</w:t>
            </w:r>
          </w:p>
          <w:bookmarkEnd w:id="2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расходов на осуществление основной деятельности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Ресурсный блок
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  <w:bookmarkEnd w:id="2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строительные материалы, детали и конструкции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комплектующие изделия, полуфабрикаты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Стоимостной блок
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Затраты на эксплуатацию машин и механизмов</w:t>
            </w:r>
          </w:p>
          <w:bookmarkEnd w:id="3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продукты переработки нефти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электроэнергию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 на оплату труда</w:t>
            </w:r>
          </w:p>
          <w:bookmarkEnd w:id="3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оплату труда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Затраты на другие услуги производственного характера сторонних организаций</w:t>
            </w:r>
          </w:p>
          <w:bookmarkEnd w:id="3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услуги грузового транспорта по перевозке строительных грузов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услуги по аренде строительной техники и оборудования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Накладные расходы</w:t>
            </w:r>
          </w:p>
          <w:bookmarkEnd w:id="3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для возмещения затрат строительно-монтажных организаций, связанных с созданием общих условий производства, его обслуживанием, организацией и управлением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