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b1de5" w14:textId="8fb1d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измерения многофакторной производительности</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6 декабря 2016 года № 303. Зарегистрирован в Министерстве юстиции Республики Казахстан 4 января 2017 года № 14640.</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а также подпунктом 258) </w:t>
      </w:r>
      <w:r>
        <w:rPr>
          <w:rFonts w:ascii="Times New Roman"/>
          <w:b w:val="false"/>
          <w:i w:val="false"/>
          <w:color w:val="000000"/>
          <w:sz w:val="28"/>
        </w:rPr>
        <w:t>пункта 17</w:t>
      </w:r>
      <w:r>
        <w:rPr>
          <w:rFonts w:ascii="Times New Roman"/>
          <w:b w:val="false"/>
          <w:i w:val="false"/>
          <w:color w:val="000000"/>
          <w:sz w:val="28"/>
        </w:rPr>
        <w:t xml:space="preserve">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измерения многофакторной производительности.  </w:t>
      </w:r>
    </w:p>
    <w:bookmarkEnd w:id="1"/>
    <w:bookmarkStart w:name="z3" w:id="2"/>
    <w:p>
      <w:pPr>
        <w:spacing w:after="0"/>
        <w:ind w:left="0"/>
        <w:jc w:val="both"/>
      </w:pPr>
      <w:r>
        <w:rPr>
          <w:rFonts w:ascii="Times New Roman"/>
          <w:b w:val="false"/>
          <w:i w:val="false"/>
          <w:color w:val="000000"/>
          <w:sz w:val="28"/>
        </w:rPr>
        <w:t>
      2. Управлению национальных счетов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направление копии настоящего приказа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 в бумажном и электронном виде в течение десяти календарных дней со дня государственной регистрации;</w:t>
      </w:r>
    </w:p>
    <w:p>
      <w:pPr>
        <w:spacing w:after="0"/>
        <w:ind w:left="0"/>
        <w:jc w:val="both"/>
      </w:pPr>
      <w:r>
        <w:rPr>
          <w:rFonts w:ascii="Times New Roman"/>
          <w:b w:val="false"/>
          <w:i w:val="false"/>
          <w:color w:val="000000"/>
          <w:sz w:val="28"/>
        </w:rPr>
        <w:t>
      4) размещение настоящего приказа на интернет-ресурсе Комитета по статистике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Управлению национальных счетов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(Керимханова Г.М.).</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Комитета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статистике Министерства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6 декабря 2016 года № 303</w:t>
            </w:r>
          </w:p>
        </w:tc>
      </w:tr>
    </w:tbl>
    <w:bookmarkStart w:name="z8" w:id="6"/>
    <w:p>
      <w:pPr>
        <w:spacing w:after="0"/>
        <w:ind w:left="0"/>
        <w:jc w:val="left"/>
      </w:pPr>
      <w:r>
        <w:rPr>
          <w:rFonts w:ascii="Times New Roman"/>
          <w:b/>
          <w:i w:val="false"/>
          <w:color w:val="000000"/>
        </w:rPr>
        <w:t xml:space="preserve"> Методика измерения многофакторной производительности</w:t>
      </w:r>
      <w:r>
        <w:br/>
      </w:r>
      <w:r>
        <w:rPr>
          <w:rFonts w:ascii="Times New Roman"/>
          <w:b/>
          <w:i w:val="false"/>
          <w:color w:val="000000"/>
        </w:rPr>
        <w:t>Глава 1. Общие положения</w:t>
      </w:r>
    </w:p>
    <w:bookmarkEnd w:id="6"/>
    <w:bookmarkStart w:name="z10" w:id="7"/>
    <w:p>
      <w:pPr>
        <w:spacing w:after="0"/>
        <w:ind w:left="0"/>
        <w:jc w:val="both"/>
      </w:pPr>
      <w:r>
        <w:rPr>
          <w:rFonts w:ascii="Times New Roman"/>
          <w:b w:val="false"/>
          <w:i w:val="false"/>
          <w:color w:val="000000"/>
          <w:sz w:val="28"/>
        </w:rPr>
        <w:t xml:space="preserve">
      1. Методика измерения многофакторной производительности (далее – Методика)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19 марта 2010 года "О государственной статистике".</w:t>
      </w:r>
    </w:p>
    <w:bookmarkEnd w:id="7"/>
    <w:bookmarkStart w:name="z11" w:id="8"/>
    <w:p>
      <w:pPr>
        <w:spacing w:after="0"/>
        <w:ind w:left="0"/>
        <w:jc w:val="both"/>
      </w:pPr>
      <w:r>
        <w:rPr>
          <w:rFonts w:ascii="Times New Roman"/>
          <w:b w:val="false"/>
          <w:i w:val="false"/>
          <w:color w:val="000000"/>
          <w:sz w:val="28"/>
        </w:rPr>
        <w:t>
      2. Настоящая Методика предназначена для использования Комитетом по статистике Министерства национальной экономики Республики Казахстан (далее – Комитет) для измерения многофакторной производительности.</w:t>
      </w:r>
    </w:p>
    <w:bookmarkEnd w:id="8"/>
    <w:bookmarkStart w:name="z12" w:id="9"/>
    <w:p>
      <w:pPr>
        <w:spacing w:after="0"/>
        <w:ind w:left="0"/>
        <w:jc w:val="both"/>
      </w:pPr>
      <w:r>
        <w:rPr>
          <w:rFonts w:ascii="Times New Roman"/>
          <w:b w:val="false"/>
          <w:i w:val="false"/>
          <w:color w:val="000000"/>
          <w:sz w:val="28"/>
        </w:rPr>
        <w:t>
      3. Целью настоящей Методики является описание алгоритма экспериментальных расчетов многофакторной производительности.</w:t>
      </w:r>
    </w:p>
    <w:bookmarkEnd w:id="9"/>
    <w:bookmarkStart w:name="z13" w:id="10"/>
    <w:p>
      <w:pPr>
        <w:spacing w:after="0"/>
        <w:ind w:left="0"/>
        <w:jc w:val="both"/>
      </w:pPr>
      <w:r>
        <w:rPr>
          <w:rFonts w:ascii="Times New Roman"/>
          <w:b w:val="false"/>
          <w:i w:val="false"/>
          <w:color w:val="000000"/>
          <w:sz w:val="28"/>
        </w:rPr>
        <w:t>
      4. В настоящей Методике используются определения соответствующие положениям методологии Системы национальных счетов 2008 года, подготовленной Международным Валютным Фондом, Организацией экономического сотрудничества и развития, Статистическим бюро Европейских сообществ, Организацией Объединенных Наций и Всемирным банком.</w:t>
      </w:r>
    </w:p>
    <w:bookmarkEnd w:id="10"/>
    <w:bookmarkStart w:name="z14" w:id="11"/>
    <w:p>
      <w:pPr>
        <w:spacing w:after="0"/>
        <w:ind w:left="0"/>
        <w:jc w:val="both"/>
      </w:pPr>
      <w:r>
        <w:rPr>
          <w:rFonts w:ascii="Times New Roman"/>
          <w:b w:val="false"/>
          <w:i w:val="false"/>
          <w:color w:val="000000"/>
          <w:sz w:val="28"/>
        </w:rPr>
        <w:t>
      5. В настоящей Методике используются следующие определения:</w:t>
      </w:r>
    </w:p>
    <w:bookmarkEnd w:id="11"/>
    <w:bookmarkStart w:name="z27" w:id="12"/>
    <w:p>
      <w:pPr>
        <w:spacing w:after="0"/>
        <w:ind w:left="0"/>
        <w:jc w:val="both"/>
      </w:pPr>
      <w:r>
        <w:rPr>
          <w:rFonts w:ascii="Times New Roman"/>
          <w:b w:val="false"/>
          <w:i w:val="false"/>
          <w:color w:val="000000"/>
          <w:sz w:val="28"/>
        </w:rPr>
        <w:t>
      1) индекс цен – относительный показатель уровня цен на какой-либо товар (услугу) от одного периода времени к другому;</w:t>
      </w:r>
    </w:p>
    <w:bookmarkEnd w:id="12"/>
    <w:bookmarkStart w:name="z28" w:id="13"/>
    <w:p>
      <w:pPr>
        <w:spacing w:after="0"/>
        <w:ind w:left="0"/>
        <w:jc w:val="both"/>
      </w:pPr>
      <w:r>
        <w:rPr>
          <w:rFonts w:ascii="Times New Roman"/>
          <w:b w:val="false"/>
          <w:i w:val="false"/>
          <w:color w:val="000000"/>
          <w:sz w:val="28"/>
        </w:rPr>
        <w:t>
      2) оплата труда лиц, работающих по найму – общая сумма вознаграждения в денежной или в натуральной форме, подлежащая выплате предприятием работнику за проделанную им работу в течение отчетного периода;</w:t>
      </w:r>
    </w:p>
    <w:bookmarkEnd w:id="13"/>
    <w:bookmarkStart w:name="z29" w:id="14"/>
    <w:p>
      <w:pPr>
        <w:spacing w:after="0"/>
        <w:ind w:left="0"/>
        <w:jc w:val="both"/>
      </w:pPr>
      <w:r>
        <w:rPr>
          <w:rFonts w:ascii="Times New Roman"/>
          <w:b w:val="false"/>
          <w:i w:val="false"/>
          <w:color w:val="000000"/>
          <w:sz w:val="28"/>
        </w:rPr>
        <w:t>
      3) валовая добавленная стоимость (ВДС) – характеризует конечный результат производственной деятельности и представляет собой ценность, добавленную обработкой в данном производственном процессе. Исчисляется на уровне отраслей как разность между выпуском товаров и услуг и промежуточным потреблением, включает потребленную в процессе производства стоимость основного капитала;</w:t>
      </w:r>
    </w:p>
    <w:bookmarkEnd w:id="14"/>
    <w:bookmarkStart w:name="z30" w:id="15"/>
    <w:p>
      <w:pPr>
        <w:spacing w:after="0"/>
        <w:ind w:left="0"/>
        <w:jc w:val="both"/>
      </w:pPr>
      <w:r>
        <w:rPr>
          <w:rFonts w:ascii="Times New Roman"/>
          <w:b w:val="false"/>
          <w:i w:val="false"/>
          <w:color w:val="000000"/>
          <w:sz w:val="28"/>
        </w:rPr>
        <w:t>
      4) валовое накопление основного капитала (ВНОК) – стоимость приобретения производителями новых и существующих основных средств за вычетом стоимости выбытия основных средств, используемых в производстве для создания нового дохода в будущем;</w:t>
      </w:r>
    </w:p>
    <w:bookmarkEnd w:id="15"/>
    <w:bookmarkStart w:name="z31" w:id="16"/>
    <w:p>
      <w:pPr>
        <w:spacing w:after="0"/>
        <w:ind w:left="0"/>
        <w:jc w:val="both"/>
      </w:pPr>
      <w:r>
        <w:rPr>
          <w:rFonts w:ascii="Times New Roman"/>
          <w:b w:val="false"/>
          <w:i w:val="false"/>
          <w:color w:val="000000"/>
          <w:sz w:val="28"/>
        </w:rPr>
        <w:t>
      5) налоги на производство – обязательные безвозмездные выплаты которые включают налоги на продукты, производимые в качестве выпуска, а также другие налоги на производство в связи с использованием в производстве рабочей силы, машин, оборудования и других активов.</w:t>
      </w:r>
    </w:p>
    <w:bookmarkEnd w:id="16"/>
    <w:bookmarkStart w:name="z15" w:id="17"/>
    <w:p>
      <w:pPr>
        <w:spacing w:after="0"/>
        <w:ind w:left="0"/>
        <w:jc w:val="left"/>
      </w:pPr>
      <w:r>
        <w:rPr>
          <w:rFonts w:ascii="Times New Roman"/>
          <w:b/>
          <w:i w:val="false"/>
          <w:color w:val="000000"/>
        </w:rPr>
        <w:t xml:space="preserve"> Глава 2. Теоретические аспекты определения</w:t>
      </w:r>
      <w:r>
        <w:br/>
      </w:r>
      <w:r>
        <w:rPr>
          <w:rFonts w:ascii="Times New Roman"/>
          <w:b/>
          <w:i w:val="false"/>
          <w:color w:val="000000"/>
        </w:rPr>
        <w:t>многофакторной производительности</w:t>
      </w:r>
    </w:p>
    <w:bookmarkEnd w:id="17"/>
    <w:bookmarkStart w:name="z16" w:id="18"/>
    <w:p>
      <w:pPr>
        <w:spacing w:after="0"/>
        <w:ind w:left="0"/>
        <w:jc w:val="both"/>
      </w:pPr>
      <w:r>
        <w:rPr>
          <w:rFonts w:ascii="Times New Roman"/>
          <w:b w:val="false"/>
          <w:i w:val="false"/>
          <w:color w:val="000000"/>
          <w:sz w:val="28"/>
        </w:rPr>
        <w:t>
      6. Формируются различные показатели производительности. Выбор показателя зависит от цели измерения производительности и во многих случаях – от наличия данных. Показатели производительности подразделяются на производительность по одному фактору (связывающие показатель выпуска с единственным показателем затрат) или многофакторные (связывающие показатель выпуска с набором затрат различных ингредиентов). Другим отличием, особенно значимым на уровне отрасли или фирмы, является отличие показателей производительности, которые связывают некоторый показатель валового объема продукции с одним или несколькими факторами, которые используют концепцию добавленной стоимости для выявления изменений выпуска продукции.</w:t>
      </w:r>
    </w:p>
    <w:bookmarkEnd w:id="18"/>
    <w:bookmarkStart w:name="z17" w:id="19"/>
    <w:p>
      <w:pPr>
        <w:spacing w:after="0"/>
        <w:ind w:left="0"/>
        <w:jc w:val="both"/>
      </w:pPr>
      <w:r>
        <w:rPr>
          <w:rFonts w:ascii="Times New Roman"/>
          <w:b w:val="false"/>
          <w:i w:val="false"/>
          <w:color w:val="000000"/>
          <w:sz w:val="28"/>
        </w:rPr>
        <w:t>
      7. Производительность труда является основным показателем экономической эффективности производства отрасли и каждого предприятия. Выявление резервов и путей повышения производительности труда опирается на комплексном технико-экономическом анализе работы предприятия. Анализ производительности труда позволяет определить эффективность использования предприятием трудовых ресурсов и рабочего времени.</w:t>
      </w:r>
    </w:p>
    <w:bookmarkEnd w:id="19"/>
    <w:p>
      <w:pPr>
        <w:spacing w:after="0"/>
        <w:ind w:left="0"/>
        <w:jc w:val="both"/>
      </w:pPr>
      <w:r>
        <w:rPr>
          <w:rFonts w:ascii="Times New Roman"/>
          <w:b w:val="false"/>
          <w:i w:val="false"/>
          <w:color w:val="000000"/>
          <w:sz w:val="28"/>
        </w:rPr>
        <w:t>
      Производительность труда характеризует плодотворность полезного труда, определяющей степень эффективности производственной деятельности в течение определенного периода времени.</w:t>
      </w:r>
    </w:p>
    <w:bookmarkStart w:name="z18" w:id="20"/>
    <w:p>
      <w:pPr>
        <w:spacing w:after="0"/>
        <w:ind w:left="0"/>
        <w:jc w:val="both"/>
      </w:pPr>
      <w:r>
        <w:rPr>
          <w:rFonts w:ascii="Times New Roman"/>
          <w:b w:val="false"/>
          <w:i w:val="false"/>
          <w:color w:val="000000"/>
          <w:sz w:val="28"/>
        </w:rPr>
        <w:t>
      8. Показатель производительности труда соотносит результат деятельности лишь с одним видом затрат. Выпуск является результатом совокупности взаимосвязанных воздействий:</w:t>
      </w:r>
    </w:p>
    <w:bookmarkEnd w:id="20"/>
    <w:p>
      <w:pPr>
        <w:spacing w:after="0"/>
        <w:ind w:left="0"/>
        <w:jc w:val="both"/>
      </w:pPr>
      <w:r>
        <w:rPr>
          <w:rFonts w:ascii="Times New Roman"/>
          <w:b w:val="false"/>
          <w:i w:val="false"/>
          <w:color w:val="000000"/>
          <w:sz w:val="28"/>
        </w:rPr>
        <w:t>
      изменений в технологии;</w:t>
      </w:r>
    </w:p>
    <w:p>
      <w:pPr>
        <w:spacing w:after="0"/>
        <w:ind w:left="0"/>
        <w:jc w:val="both"/>
      </w:pPr>
      <w:r>
        <w:rPr>
          <w:rFonts w:ascii="Times New Roman"/>
          <w:b w:val="false"/>
          <w:i w:val="false"/>
          <w:color w:val="000000"/>
          <w:sz w:val="28"/>
        </w:rPr>
        <w:t>
      капиталовооруженности труда;</w:t>
      </w:r>
    </w:p>
    <w:p>
      <w:pPr>
        <w:spacing w:after="0"/>
        <w:ind w:left="0"/>
        <w:jc w:val="both"/>
      </w:pPr>
      <w:r>
        <w:rPr>
          <w:rFonts w:ascii="Times New Roman"/>
          <w:b w:val="false"/>
          <w:i w:val="false"/>
          <w:color w:val="000000"/>
          <w:sz w:val="28"/>
        </w:rPr>
        <w:t>
      степени использования производственной мощности;</w:t>
      </w:r>
    </w:p>
    <w:p>
      <w:pPr>
        <w:spacing w:after="0"/>
        <w:ind w:left="0"/>
        <w:jc w:val="both"/>
      </w:pPr>
      <w:r>
        <w:rPr>
          <w:rFonts w:ascii="Times New Roman"/>
          <w:b w:val="false"/>
          <w:i w:val="false"/>
          <w:color w:val="000000"/>
          <w:sz w:val="28"/>
        </w:rPr>
        <w:t>
      качества управленческих решений;</w:t>
      </w:r>
    </w:p>
    <w:p>
      <w:pPr>
        <w:spacing w:after="0"/>
        <w:ind w:left="0"/>
        <w:jc w:val="both"/>
      </w:pPr>
      <w:r>
        <w:rPr>
          <w:rFonts w:ascii="Times New Roman"/>
          <w:b w:val="false"/>
          <w:i w:val="false"/>
          <w:color w:val="000000"/>
          <w:sz w:val="28"/>
        </w:rPr>
        <w:t>
      квалификации и усердия сотрудников работников.</w:t>
      </w:r>
    </w:p>
    <w:p>
      <w:pPr>
        <w:spacing w:after="0"/>
        <w:ind w:left="0"/>
        <w:jc w:val="both"/>
      </w:pPr>
      <w:r>
        <w:rPr>
          <w:rFonts w:ascii="Times New Roman"/>
          <w:b w:val="false"/>
          <w:i w:val="false"/>
          <w:color w:val="000000"/>
          <w:sz w:val="28"/>
        </w:rPr>
        <w:t>
      Различные частные показатели дают противоречивую оценку динамики производительности.</w:t>
      </w:r>
    </w:p>
    <w:bookmarkStart w:name="z19" w:id="21"/>
    <w:p>
      <w:pPr>
        <w:spacing w:after="0"/>
        <w:ind w:left="0"/>
        <w:jc w:val="both"/>
      </w:pPr>
      <w:r>
        <w:rPr>
          <w:rFonts w:ascii="Times New Roman"/>
          <w:b w:val="false"/>
          <w:i w:val="false"/>
          <w:color w:val="000000"/>
          <w:sz w:val="28"/>
        </w:rPr>
        <w:t>
      9. Для обобщения оценки эффективности и использования факторов производства применяются многофакторные методы измерения производительности. Выпуск соотносится со всеми использованными ресурсами.</w:t>
      </w:r>
    </w:p>
    <w:bookmarkEnd w:id="21"/>
    <w:p>
      <w:pPr>
        <w:spacing w:after="0"/>
        <w:ind w:left="0"/>
        <w:jc w:val="both"/>
      </w:pPr>
      <w:r>
        <w:rPr>
          <w:rFonts w:ascii="Times New Roman"/>
          <w:b w:val="false"/>
          <w:i w:val="false"/>
          <w:color w:val="000000"/>
          <w:sz w:val="28"/>
        </w:rPr>
        <w:t>
      В мировой практике расчетов принимаются следующие условия:</w:t>
      </w:r>
    </w:p>
    <w:p>
      <w:pPr>
        <w:spacing w:after="0"/>
        <w:ind w:left="0"/>
        <w:jc w:val="both"/>
      </w:pPr>
      <w:r>
        <w:rPr>
          <w:rFonts w:ascii="Times New Roman"/>
          <w:b w:val="false"/>
          <w:i w:val="false"/>
          <w:color w:val="000000"/>
          <w:sz w:val="28"/>
        </w:rPr>
        <w:t>
      стоимость приобретенных со стороны сырья, материалов, услуг учитывается при выпуске продукции, оцениваемой по полной стоимости и в составе затрат;</w:t>
      </w:r>
    </w:p>
    <w:p>
      <w:pPr>
        <w:spacing w:after="0"/>
        <w:ind w:left="0"/>
        <w:jc w:val="both"/>
      </w:pPr>
      <w:r>
        <w:rPr>
          <w:rFonts w:ascii="Times New Roman"/>
          <w:b w:val="false"/>
          <w:i w:val="false"/>
          <w:color w:val="000000"/>
          <w:sz w:val="28"/>
        </w:rPr>
        <w:t>
      при выпуске рассчитываемом по одному из вариантов добавленной стоимости, в составе затрат учитываются только затраты на рабочую силу и затраты основного капитала.</w:t>
      </w:r>
    </w:p>
    <w:bookmarkStart w:name="z20" w:id="22"/>
    <w:p>
      <w:pPr>
        <w:spacing w:after="0"/>
        <w:ind w:left="0"/>
        <w:jc w:val="both"/>
      </w:pPr>
      <w:r>
        <w:rPr>
          <w:rFonts w:ascii="Times New Roman"/>
          <w:b w:val="false"/>
          <w:i w:val="false"/>
          <w:color w:val="000000"/>
          <w:sz w:val="28"/>
        </w:rPr>
        <w:t>
      10. Увеличение затрат труда и капитала, рост производительности (эффективности использования труда и капитала) рассматриваются в качестве факторов, определяющих увеличение выпуска.</w:t>
      </w:r>
    </w:p>
    <w:bookmarkEnd w:id="22"/>
    <w:p>
      <w:pPr>
        <w:spacing w:after="0"/>
        <w:ind w:left="0"/>
        <w:jc w:val="both"/>
      </w:pPr>
      <w:r>
        <w:rPr>
          <w:rFonts w:ascii="Times New Roman"/>
          <w:b w:val="false"/>
          <w:i w:val="false"/>
          <w:color w:val="000000"/>
          <w:sz w:val="28"/>
        </w:rPr>
        <w:t>
      Многофакторный показатель производительности характеризует темп прироста выпуска продукции в дополнение к приросту, обусловленному экстенсивными факторами (увеличением количества вовлеченных в производство ресурсов). Данный показатель представляет частное от деления показателя индекса выпуска на индекс затрат (в ценах базисного года). Изменение затрат труда и капитала по-разному влияет на выпуск (эластичность выпуска по фактору труда и капитала неодинакова). При расчете общего индекса затрат используется метод взвешивания. В качестве весов принимаются доли затрат на труд и основной капитал в общих затратах.</w:t>
      </w:r>
    </w:p>
    <w:bookmarkStart w:name="z21" w:id="23"/>
    <w:p>
      <w:pPr>
        <w:spacing w:after="0"/>
        <w:ind w:left="0"/>
        <w:jc w:val="both"/>
      </w:pPr>
      <w:r>
        <w:rPr>
          <w:rFonts w:ascii="Times New Roman"/>
          <w:b w:val="false"/>
          <w:i w:val="false"/>
          <w:color w:val="000000"/>
          <w:sz w:val="28"/>
        </w:rPr>
        <w:t>
      11. Индексы многофакторной производительности (далее – МФП) "труд и капитал" показывают динамику насколько производительно объединенные затраты труда и капитала используются для создания добавленной стоимости. Производительность фактора "труд и капитал" не является точной мерой технического прогресса. МФП является индикатором способности отрасли вносить вклад в рост дохода в масштабах экономики в расчете на единицу первичных затрат. На практике МФП отражает объединенные эффекты невоплощенного технического прогресса, эффекты масштаба, изменения эффективности, изменения в использовании мощностей и ошибки измерения. Показатель затрат капитала является агрегатом разных типов активов, каждый из которых взвешивается по соответствующей стоимости капитала для пользователя и основывается на ценах капитальных товаров, отражающих изменение качества, эффекты воплощенного технического прогресса отражаются в факторе капитала, и на МФП влияет только невоплощенный технический прогресс.</w:t>
      </w:r>
    </w:p>
    <w:bookmarkEnd w:id="23"/>
    <w:bookmarkStart w:name="z22" w:id="24"/>
    <w:p>
      <w:pPr>
        <w:spacing w:after="0"/>
        <w:ind w:left="0"/>
        <w:jc w:val="left"/>
      </w:pPr>
      <w:r>
        <w:rPr>
          <w:rFonts w:ascii="Times New Roman"/>
          <w:b/>
          <w:i w:val="false"/>
          <w:color w:val="000000"/>
        </w:rPr>
        <w:t xml:space="preserve"> Глава 3. Источники информации для измерения</w:t>
      </w:r>
      <w:r>
        <w:br/>
      </w:r>
      <w:r>
        <w:rPr>
          <w:rFonts w:ascii="Times New Roman"/>
          <w:b/>
          <w:i w:val="false"/>
          <w:color w:val="000000"/>
        </w:rPr>
        <w:t>многофакторной производительности</w:t>
      </w:r>
    </w:p>
    <w:bookmarkEnd w:id="24"/>
    <w:bookmarkStart w:name="z23" w:id="25"/>
    <w:p>
      <w:pPr>
        <w:spacing w:after="0"/>
        <w:ind w:left="0"/>
        <w:jc w:val="both"/>
      </w:pPr>
      <w:r>
        <w:rPr>
          <w:rFonts w:ascii="Times New Roman"/>
          <w:b w:val="false"/>
          <w:i w:val="false"/>
          <w:color w:val="000000"/>
          <w:sz w:val="28"/>
        </w:rPr>
        <w:t>
      12. Для измерения многофакторной производительности используются длинные динамические ряды показателей ВНОК по типам активов, индексов цен для соответствующих типов активов, других налогов на производство, валовой прибыли, оплаты труда. Источниками данных служат официальные статистические данные по общегосударственным статистическим наблюдениям. Динамика показателей для расчета МФП сформирована с 1993 года на основании имеющихся официальных статистических данных по общегосударственным статистическим наблюдениям. При отсутствии прямых данных проводится оценка косвенным методом с использованием дополнительных источников данных.</w:t>
      </w:r>
    </w:p>
    <w:bookmarkEnd w:id="25"/>
    <w:p>
      <w:pPr>
        <w:spacing w:after="0"/>
        <w:ind w:left="0"/>
        <w:jc w:val="both"/>
      </w:pPr>
      <w:r>
        <w:rPr>
          <w:rFonts w:ascii="Times New Roman"/>
          <w:b w:val="false"/>
          <w:i w:val="false"/>
          <w:color w:val="000000"/>
          <w:sz w:val="28"/>
        </w:rPr>
        <w:t>
      ВНОК формируется по экономике и для детализации ВНОК по типам активов используются статистические данные о приобретении основных средств по их типам.</w:t>
      </w:r>
    </w:p>
    <w:bookmarkStart w:name="z24" w:id="26"/>
    <w:p>
      <w:pPr>
        <w:spacing w:after="0"/>
        <w:ind w:left="0"/>
        <w:jc w:val="left"/>
      </w:pPr>
      <w:r>
        <w:rPr>
          <w:rFonts w:ascii="Times New Roman"/>
          <w:b/>
          <w:i w:val="false"/>
          <w:color w:val="000000"/>
        </w:rPr>
        <w:t xml:space="preserve"> Глава 4. Алгоритм расчета многофакторной производительности</w:t>
      </w:r>
    </w:p>
    <w:bookmarkEnd w:id="26"/>
    <w:bookmarkStart w:name="z25" w:id="27"/>
    <w:p>
      <w:pPr>
        <w:spacing w:after="0"/>
        <w:ind w:left="0"/>
        <w:jc w:val="both"/>
      </w:pPr>
      <w:r>
        <w:rPr>
          <w:rFonts w:ascii="Times New Roman"/>
          <w:b w:val="false"/>
          <w:i w:val="false"/>
          <w:color w:val="000000"/>
          <w:sz w:val="28"/>
        </w:rPr>
        <w:t>
      13. Расчет многофакторной производительности состоит из нескольких последовательных этапов.</w:t>
      </w:r>
    </w:p>
    <w:bookmarkEnd w:id="27"/>
    <w:p>
      <w:pPr>
        <w:spacing w:after="0"/>
        <w:ind w:left="0"/>
        <w:jc w:val="both"/>
      </w:pPr>
      <w:r>
        <w:rPr>
          <w:rFonts w:ascii="Times New Roman"/>
          <w:b w:val="false"/>
          <w:i w:val="false"/>
          <w:color w:val="000000"/>
          <w:sz w:val="28"/>
        </w:rPr>
        <w:t>
      1) Пересчет ВНОК из текущих цен в постоянные цены базового года (базовый год – 1994 год) путем дефлятирования соответствующими индексами цен по каждой категории активов.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76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763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ВНОК типа актива k в период t в постоянных ценах 1994 года;</w:t>
      </w:r>
      <w:r>
        <w:br/>
      </w:r>
      <w:r>
        <w:rPr>
          <w:rFonts w:ascii="Times New Roman"/>
          <w:b w:val="false"/>
          <w:i w:val="false"/>
          <w:color w:val="000000"/>
          <w:sz w:val="28"/>
        </w:rPr>
        <w:t>
</w:t>
      </w:r>
      <w:r>
        <w:br/>
      </w:r>
    </w:p>
    <w:p>
      <w:pPr>
        <w:spacing w:after="0"/>
        <w:ind w:left="0"/>
        <w:jc w:val="both"/>
      </w:pPr>
      <w:r>
        <w:drawing>
          <wp:inline distT="0" distB="0" distL="0" distR="0">
            <wp:extent cx="469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9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ВНОК типа актива k в текущих ценах в период t;</w:t>
      </w:r>
      <w:r>
        <w:br/>
      </w:r>
      <w:r>
        <w:rPr>
          <w:rFonts w:ascii="Times New Roman"/>
          <w:b w:val="false"/>
          <w:i w:val="false"/>
          <w:color w:val="000000"/>
          <w:sz w:val="28"/>
        </w:rPr>
        <w:t>
</w:t>
      </w:r>
      <w:r>
        <w:br/>
      </w:r>
    </w:p>
    <w:p>
      <w:pPr>
        <w:spacing w:after="0"/>
        <w:ind w:left="0"/>
        <w:jc w:val="both"/>
      </w:pPr>
      <w:r>
        <w:drawing>
          <wp:inline distT="0" distB="0" distL="0" distR="0">
            <wp:extent cx="838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38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цен типа актива k в период t (1994 = 100).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Расчет среднегодового темпа роста </w:t>
      </w:r>
    </w:p>
    <w:p>
      <w:pPr>
        <w:spacing w:after="0"/>
        <w:ind w:left="0"/>
        <w:jc w:val="both"/>
      </w:pPr>
      <w:r>
        <w:drawing>
          <wp:inline distT="0" distB="0" distL="0" distR="0">
            <wp:extent cx="431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31800" cy="304800"/>
                    </a:xfrm>
                    <a:prstGeom prst="rect">
                      <a:avLst/>
                    </a:prstGeom>
                  </pic:spPr>
                </pic:pic>
              </a:graphicData>
            </a:graphic>
          </wp:inline>
        </w:drawing>
      </w:r>
    </w:p>
    <w:p>
      <w:pPr>
        <w:spacing w:after="0"/>
        <w:ind w:left="0"/>
        <w:jc w:val="left"/>
      </w:pPr>
      <w:r>
        <w:rPr>
          <w:rFonts w:ascii="Times New Roman"/>
          <w:b w:val="false"/>
          <w:i w:val="false"/>
          <w:color w:val="000000"/>
          <w:sz w:val="28"/>
        </w:rPr>
        <w:t>ВНОК по каждой категории активов с 1994 по 2014 год производится по следующей формуле:</w:t>
      </w:r>
      <w:r>
        <w:br/>
      </w:r>
      <w:r>
        <w:rPr>
          <w:rFonts w:ascii="Times New Roman"/>
          <w:b w:val="false"/>
          <w:i w:val="false"/>
          <w:color w:val="000000"/>
          <w:sz w:val="28"/>
        </w:rPr>
        <w:t>
</w:t>
      </w:r>
      <w:r>
        <w:br/>
      </w:r>
    </w:p>
    <w:p>
      <w:pPr>
        <w:spacing w:after="0"/>
        <w:ind w:left="0"/>
        <w:jc w:val="both"/>
      </w:pPr>
      <w:r>
        <w:drawing>
          <wp:inline distT="0" distB="0" distL="0" distR="0">
            <wp:extent cx="16764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764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1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71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ВНОК за 2014 год в постоянных ценах 1994 года;</w:t>
      </w:r>
      <w:r>
        <w:br/>
      </w:r>
      <w:r>
        <w:rPr>
          <w:rFonts w:ascii="Times New Roman"/>
          <w:b w:val="false"/>
          <w:i w:val="false"/>
          <w:color w:val="000000"/>
          <w:sz w:val="28"/>
        </w:rPr>
        <w:t>
</w:t>
      </w:r>
      <w:r>
        <w:br/>
      </w:r>
    </w:p>
    <w:p>
      <w:pPr>
        <w:spacing w:after="0"/>
        <w:ind w:left="0"/>
        <w:jc w:val="both"/>
      </w:pPr>
      <w:r>
        <w:drawing>
          <wp:inline distT="0" distB="0" distL="0" distR="0">
            <wp:extent cx="533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3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ВНОК за 1994 год в постоянных ценах.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Расчет первоначального запаса капитала на конец 1993 года сделан с предположением о геометрической амортизации и постоянным годовым ростом.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320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2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22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первоначальный чистый запас капитала в конце 1994 года;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w:t>
      </w:r>
      <w:r>
        <w:rPr>
          <w:rFonts w:ascii="Times New Roman"/>
          <w:b w:val="false"/>
          <w:i w:val="false"/>
          <w:color w:val="000000"/>
          <w:vertAlign w:val="superscript"/>
        </w:rPr>
        <w:t>1994</w:t>
      </w:r>
      <w:r>
        <w:rPr>
          <w:rFonts w:ascii="Times New Roman"/>
          <w:b w:val="false"/>
          <w:i w:val="false"/>
          <w:color w:val="000000"/>
          <w:sz w:val="28"/>
        </w:rPr>
        <w:t>– ВНОК за 1994 год в постоянных ценах;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норма амортизации;</w:t>
      </w:r>
      <w:r>
        <w:br/>
      </w:r>
      <w:r>
        <w:rPr>
          <w:rFonts w:ascii="Times New Roman"/>
          <w:b w:val="false"/>
          <w:i w:val="false"/>
          <w:color w:val="000000"/>
          <w:sz w:val="28"/>
        </w:rPr>
        <w:t>
</w:t>
      </w:r>
      <w:r>
        <w:br/>
      </w:r>
    </w:p>
    <w:p>
      <w:pPr>
        <w:spacing w:after="0"/>
        <w:ind w:left="0"/>
        <w:jc w:val="both"/>
      </w:pPr>
      <w:r>
        <w:drawing>
          <wp:inline distT="0" distB="0" distL="0" distR="0">
            <wp:extent cx="381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810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предполагаемый годовой темп роста до 1994 года.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Предполагаемый годовой темп роста получен посредством расчета среднегодового темпа роста с 1994 до 2014 год и корректировкой на основе предположения об ускорении или замедлении роста ВНОК с 1993 года.</w:t>
      </w:r>
    </w:p>
    <w:p>
      <w:pPr>
        <w:spacing w:after="0"/>
        <w:ind w:left="0"/>
        <w:jc w:val="both"/>
      </w:pPr>
      <w:r>
        <w:rPr>
          <w:rFonts w:ascii="Times New Roman"/>
          <w:b w:val="false"/>
          <w:i w:val="false"/>
          <w:color w:val="000000"/>
          <w:sz w:val="28"/>
        </w:rPr>
        <w:t>
      4) Определение чистого запаса капитала в постоянных ценах с 1994 года осуществлено по следующей формуле (предположение накопление капитала происходит с середины года):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32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6322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vertAlign w:val="superscript"/>
        </w:rPr>
        <w:t>tE</w:t>
      </w:r>
      <w:r>
        <w:rPr>
          <w:rFonts w:ascii="Times New Roman"/>
          <w:b w:val="false"/>
          <w:i w:val="false"/>
          <w:color w:val="000000"/>
          <w:sz w:val="28"/>
        </w:rPr>
        <w:t>– чистый запас капитала в постоянных ценах;</w:t>
      </w:r>
    </w:p>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vertAlign w:val="superscript"/>
        </w:rPr>
        <w:t>tB</w:t>
      </w:r>
      <w:r>
        <w:rPr>
          <w:rFonts w:ascii="Times New Roman"/>
          <w:b w:val="false"/>
          <w:i w:val="false"/>
          <w:color w:val="000000"/>
          <w:sz w:val="28"/>
        </w:rPr>
        <w:t>– чистый запас капитала предыдущего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perscript"/>
        </w:rPr>
        <w:t>t</w:t>
      </w:r>
      <w:r>
        <w:rPr>
          <w:rFonts w:ascii="Times New Roman"/>
          <w:b w:val="false"/>
          <w:i w:val="false"/>
          <w:color w:val="000000"/>
          <w:sz w:val="28"/>
        </w:rPr>
        <w:t>– ВНОК в постоянных ценах;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норма амортизации.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Пересчет полученных чистых капитальных запасов из постоянных цен в текущие цены производится путем умножения на соответствующие индексы цен (1994 = 100).</w:t>
      </w:r>
    </w:p>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vertAlign w:val="superscript"/>
        </w:rPr>
        <w:t>tС</w:t>
      </w:r>
      <w:r>
        <w:rPr>
          <w:rFonts w:ascii="Times New Roman"/>
          <w:b w:val="false"/>
          <w:i/>
          <w:color w:val="000000"/>
          <w:sz w:val="28"/>
        </w:rPr>
        <w:t>= W</w:t>
      </w:r>
      <w:r>
        <w:rPr>
          <w:rFonts w:ascii="Times New Roman"/>
          <w:b w:val="false"/>
          <w:i w:val="false"/>
          <w:color w:val="000000"/>
          <w:vertAlign w:val="superscript"/>
        </w:rPr>
        <w:t>tE</w:t>
      </w:r>
      <w:r>
        <w:rPr>
          <w:rFonts w:ascii="Times New Roman"/>
          <w:b w:val="false"/>
          <w:i/>
          <w:color w:val="000000"/>
          <w:sz w:val="28"/>
        </w:rPr>
        <w:t xml:space="preserve"> *P</w:t>
      </w:r>
      <w:r>
        <w:rPr>
          <w:rFonts w:ascii="Times New Roman"/>
          <w:b w:val="false"/>
          <w:i w:val="false"/>
          <w:color w:val="000000"/>
          <w:vertAlign w:val="superscript"/>
        </w:rPr>
        <w:t>t,1994</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vertAlign w:val="superscript"/>
        </w:rPr>
        <w:t>tС</w:t>
      </w:r>
      <w:r>
        <w:rPr>
          <w:rFonts w:ascii="Times New Roman"/>
          <w:b w:val="false"/>
          <w:i w:val="false"/>
          <w:color w:val="000000"/>
          <w:sz w:val="28"/>
        </w:rPr>
        <w:t xml:space="preserve"> – чистый запас капитала в текущих ценах;</w:t>
      </w:r>
    </w:p>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vertAlign w:val="superscript"/>
        </w:rPr>
        <w:t>tE</w:t>
      </w:r>
      <w:r>
        <w:rPr>
          <w:rFonts w:ascii="Times New Roman"/>
          <w:b w:val="false"/>
          <w:i w:val="false"/>
          <w:color w:val="000000"/>
          <w:sz w:val="28"/>
        </w:rPr>
        <w:t>– чистый запас капитала в постоянных ценах;</w:t>
      </w:r>
    </w:p>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perscript"/>
        </w:rPr>
        <w:t>t,1994</w:t>
      </w:r>
      <w:r>
        <w:rPr>
          <w:rFonts w:ascii="Times New Roman"/>
          <w:b w:val="false"/>
          <w:i w:val="false"/>
          <w:color w:val="000000"/>
          <w:sz w:val="28"/>
        </w:rPr>
        <w:t>– индекс цен (1994=100).</w:t>
      </w:r>
    </w:p>
    <w:p>
      <w:pPr>
        <w:spacing w:after="0"/>
        <w:ind w:left="0"/>
        <w:jc w:val="both"/>
      </w:pPr>
      <w:r>
        <w:rPr>
          <w:rFonts w:ascii="Times New Roman"/>
          <w:b w:val="false"/>
          <w:i w:val="false"/>
          <w:color w:val="000000"/>
          <w:sz w:val="28"/>
        </w:rPr>
        <w:t>
      6) Расчет пользовательских затрат по каждой категории активов ВНОК производится по следующей формуле: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vertAlign w:val="superscript"/>
        </w:rPr>
        <w:t>k,t</w:t>
      </w:r>
      <w:r>
        <w:rPr>
          <w:rFonts w:ascii="Times New Roman"/>
          <w:b w:val="false"/>
          <w:i/>
          <w:color w:val="000000"/>
          <w:sz w:val="28"/>
        </w:rPr>
        <w:t xml:space="preserve"> = p</w:t>
      </w:r>
      <w:r>
        <w:rPr>
          <w:rFonts w:ascii="Times New Roman"/>
          <w:b w:val="false"/>
          <w:i w:val="false"/>
          <w:color w:val="000000"/>
          <w:vertAlign w:val="superscript"/>
        </w:rPr>
        <w:t>k,t</w:t>
      </w:r>
      <w:r>
        <w:rPr>
          <w:rFonts w:ascii="Times New Roman"/>
          <w:b w:val="false"/>
          <w:i/>
          <w:color w:val="000000"/>
          <w:sz w:val="28"/>
        </w:rPr>
        <w:t>(r</w:t>
      </w:r>
      <w:r>
        <w:rPr>
          <w:rFonts w:ascii="Times New Roman"/>
          <w:b w:val="false"/>
          <w:i w:val="false"/>
          <w:color w:val="000000"/>
          <w:vertAlign w:val="superscript"/>
        </w:rPr>
        <w:t>t</w:t>
      </w:r>
      <w:r>
        <w:rPr>
          <w:rFonts w:ascii="Times New Roman"/>
          <w:b w:val="false"/>
          <w:i/>
          <w:color w:val="000000"/>
          <w:sz w:val="28"/>
        </w:rPr>
        <w:t xml:space="preserve"> - i</w:t>
      </w:r>
      <w:r>
        <w:rPr>
          <w:rFonts w:ascii="Times New Roman"/>
          <w:b w:val="false"/>
          <w:i w:val="false"/>
          <w:color w:val="000000"/>
          <w:vertAlign w:val="superscript"/>
        </w:rPr>
        <w:t>k,t</w:t>
      </w:r>
      <w:r>
        <w:rPr>
          <w:rFonts w:ascii="Times New Roman"/>
          <w:b w:val="false"/>
          <w:i/>
          <w:color w:val="000000"/>
          <w:sz w:val="28"/>
        </w:rPr>
        <w:t xml:space="preserve"> + b</w:t>
      </w:r>
      <w:r>
        <w:rPr>
          <w:rFonts w:ascii="Times New Roman"/>
          <w:b w:val="false"/>
          <w:i w:val="false"/>
          <w:color w:val="000000"/>
          <w:vertAlign w:val="superscript"/>
        </w:rPr>
        <w:t>k</w:t>
      </w:r>
      <w:r>
        <w:rPr>
          <w:rFonts w:ascii="Times New Roman"/>
          <w:b w:val="false"/>
          <w:i/>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vertAlign w:val="superscript"/>
        </w:rPr>
        <w:t>k,t</w:t>
      </w:r>
      <w:r>
        <w:rPr>
          <w:rFonts w:ascii="Times New Roman"/>
          <w:b w:val="false"/>
          <w:i w:val="false"/>
          <w:color w:val="000000"/>
          <w:sz w:val="28"/>
        </w:rPr>
        <w:t>– пользовательские затраты типа актива k в период t;</w:t>
      </w:r>
    </w:p>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perscript"/>
        </w:rPr>
        <w:t>k,t</w:t>
      </w:r>
      <w:r>
        <w:rPr>
          <w:rFonts w:ascii="Times New Roman"/>
          <w:b w:val="false"/>
          <w:i w:val="false"/>
          <w:color w:val="000000"/>
          <w:sz w:val="28"/>
        </w:rPr>
        <w:t>– чистый запас капитала типа актива k в период t (</w:t>
      </w:r>
      <w:r>
        <w:rPr>
          <w:rFonts w:ascii="Times New Roman"/>
          <w:b w:val="false"/>
          <w:i/>
          <w:color w:val="000000"/>
          <w:sz w:val="28"/>
        </w:rPr>
        <w:t>p</w:t>
      </w:r>
      <w:r>
        <w:rPr>
          <w:rFonts w:ascii="Times New Roman"/>
          <w:b w:val="false"/>
          <w:i w:val="false"/>
          <w:color w:val="000000"/>
          <w:vertAlign w:val="superscript"/>
        </w:rPr>
        <w:t>k,t</w:t>
      </w:r>
      <w:r>
        <w:rPr>
          <w:rFonts w:ascii="Times New Roman"/>
          <w:b w:val="false"/>
          <w:i w:val="false"/>
          <w:color w:val="000000"/>
          <w:sz w:val="28"/>
        </w:rPr>
        <w:t xml:space="preserve"> = </w:t>
      </w:r>
      <w:r>
        <w:rPr>
          <w:rFonts w:ascii="Times New Roman"/>
          <w:b w:val="false"/>
          <w:i/>
          <w:color w:val="000000"/>
          <w:sz w:val="28"/>
        </w:rPr>
        <w:t>W</w:t>
      </w:r>
      <w:r>
        <w:rPr>
          <w:rFonts w:ascii="Times New Roman"/>
          <w:b w:val="false"/>
          <w:i w:val="false"/>
          <w:color w:val="000000"/>
          <w:vertAlign w:val="superscript"/>
        </w:rPr>
        <w:t>tС</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perscript"/>
        </w:rPr>
        <w:t>t</w:t>
      </w:r>
      <w:r>
        <w:rPr>
          <w:rFonts w:ascii="Times New Roman"/>
          <w:b w:val="false"/>
          <w:i w:val="false"/>
          <w:color w:val="000000"/>
          <w:sz w:val="28"/>
        </w:rPr>
        <w:t>– реальная норма прибыли в период t;</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perscript"/>
        </w:rPr>
        <w:t>k,t</w:t>
      </w:r>
      <w:r>
        <w:rPr>
          <w:rFonts w:ascii="Times New Roman"/>
          <w:b w:val="false"/>
          <w:i w:val="false"/>
          <w:color w:val="000000"/>
          <w:sz w:val="28"/>
        </w:rPr>
        <w:t>– реальное ожидаемое изменение в цене актива k;</w:t>
      </w:r>
    </w:p>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vertAlign w:val="superscript"/>
        </w:rPr>
        <w:t>k</w:t>
      </w:r>
      <w:r>
        <w:rPr>
          <w:rFonts w:ascii="Times New Roman"/>
          <w:b w:val="false"/>
          <w:i w:val="false"/>
          <w:color w:val="000000"/>
          <w:sz w:val="28"/>
        </w:rPr>
        <w:t>– норма амортизации.</w:t>
      </w:r>
    </w:p>
    <w:p>
      <w:pPr>
        <w:spacing w:after="0"/>
        <w:ind w:left="0"/>
        <w:jc w:val="both"/>
      </w:pPr>
      <w:r>
        <w:rPr>
          <w:rFonts w:ascii="Times New Roman"/>
          <w:b w:val="false"/>
          <w:i w:val="false"/>
          <w:color w:val="000000"/>
          <w:sz w:val="28"/>
        </w:rPr>
        <w:t>
      Для определения реальной нормы прибыли (</w:t>
      </w:r>
      <w:r>
        <w:rPr>
          <w:rFonts w:ascii="Times New Roman"/>
          <w:b/>
          <w:i w:val="false"/>
          <w:color w:val="000000"/>
          <w:sz w:val="28"/>
        </w:rPr>
        <w:t>r</w:t>
      </w:r>
      <w:r>
        <w:rPr>
          <w:rFonts w:ascii="Times New Roman"/>
          <w:b w:val="false"/>
          <w:i w:val="false"/>
          <w:color w:val="000000"/>
          <w:vertAlign w:val="superscript"/>
        </w:rPr>
        <w:t>t</w:t>
      </w:r>
      <w:r>
        <w:rPr>
          <w:rFonts w:ascii="Times New Roman"/>
          <w:b w:val="false"/>
          <w:i w:val="false"/>
          <w:color w:val="000000"/>
          <w:sz w:val="28"/>
        </w:rPr>
        <w:t>) в международной практике используются два метода:</w:t>
      </w:r>
    </w:p>
    <w:p>
      <w:pPr>
        <w:spacing w:after="0"/>
        <w:ind w:left="0"/>
        <w:jc w:val="both"/>
      </w:pPr>
      <w:r>
        <w:rPr>
          <w:rFonts w:ascii="Times New Roman"/>
          <w:b w:val="false"/>
          <w:i w:val="false"/>
          <w:color w:val="000000"/>
          <w:sz w:val="28"/>
        </w:rPr>
        <w:t>
      ex post (фактический);</w:t>
      </w:r>
    </w:p>
    <w:p>
      <w:pPr>
        <w:spacing w:after="0"/>
        <w:ind w:left="0"/>
        <w:jc w:val="both"/>
      </w:pPr>
      <w:r>
        <w:rPr>
          <w:rFonts w:ascii="Times New Roman"/>
          <w:b w:val="false"/>
          <w:i w:val="false"/>
          <w:color w:val="000000"/>
          <w:sz w:val="28"/>
        </w:rPr>
        <w:t>
      ex ante (предполагаемый).</w:t>
      </w:r>
    </w:p>
    <w:p>
      <w:pPr>
        <w:spacing w:after="0"/>
        <w:ind w:left="0"/>
        <w:jc w:val="both"/>
      </w:pPr>
      <w:r>
        <w:rPr>
          <w:rFonts w:ascii="Times New Roman"/>
          <w:b w:val="false"/>
          <w:i w:val="false"/>
          <w:color w:val="000000"/>
          <w:sz w:val="28"/>
        </w:rPr>
        <w:t xml:space="preserve">
      При применении подхода ex post норма прибыли получается расчетным путем, при подходе ex ante </w:t>
      </w:r>
      <w:r>
        <w:rPr>
          <w:rFonts w:ascii="Times New Roman"/>
          <w:b/>
          <w:i w:val="false"/>
          <w:color w:val="000000"/>
          <w:sz w:val="28"/>
        </w:rPr>
        <w:t>r</w:t>
      </w:r>
      <w:r>
        <w:rPr>
          <w:rFonts w:ascii="Times New Roman"/>
          <w:b w:val="false"/>
          <w:i w:val="false"/>
          <w:color w:val="000000"/>
          <w:vertAlign w:val="superscript"/>
        </w:rPr>
        <w:t>t</w:t>
      </w:r>
      <w:r>
        <w:rPr>
          <w:rFonts w:ascii="Times New Roman"/>
          <w:b w:val="false"/>
          <w:i w:val="false"/>
          <w:color w:val="000000"/>
          <w:sz w:val="28"/>
        </w:rPr>
        <w:t xml:space="preserve"> устанавливается равной определенной процентной ставке. В международной практике принята норма прибыли в размере около 4%.</w:t>
      </w:r>
    </w:p>
    <w:p>
      <w:pPr>
        <w:spacing w:after="0"/>
        <w:ind w:left="0"/>
        <w:jc w:val="both"/>
      </w:pPr>
      <w:r>
        <w:rPr>
          <w:rFonts w:ascii="Times New Roman"/>
          <w:b w:val="false"/>
          <w:i w:val="false"/>
          <w:color w:val="000000"/>
          <w:sz w:val="28"/>
        </w:rPr>
        <w:t>
      Реальные ожидаемые изменения в цене актива рассчитываются путем определение средних изменений за предыдущие несколько лет или фактических изменений реального индекса цен для каждого типа активов, скорректированного на общий уровень инфляции.</w:t>
      </w:r>
    </w:p>
    <w:p>
      <w:pPr>
        <w:spacing w:after="0"/>
        <w:ind w:left="0"/>
        <w:jc w:val="both"/>
      </w:pPr>
      <w:r>
        <w:rPr>
          <w:rFonts w:ascii="Times New Roman"/>
          <w:b w:val="false"/>
          <w:i w:val="false"/>
          <w:color w:val="000000"/>
          <w:sz w:val="28"/>
        </w:rPr>
        <w:t>
      В текущих расчетах применяется подход ex ante, в качестве реальной нормы прибыли принято 4%, ожидаемое изменение цены рассчитывается как фактическое изменение реального индекса цен.</w:t>
      </w:r>
    </w:p>
    <w:p>
      <w:pPr>
        <w:spacing w:after="0"/>
        <w:ind w:left="0"/>
        <w:jc w:val="both"/>
      </w:pPr>
      <w:r>
        <w:rPr>
          <w:rFonts w:ascii="Times New Roman"/>
          <w:b w:val="false"/>
          <w:i w:val="false"/>
          <w:color w:val="000000"/>
          <w:sz w:val="28"/>
        </w:rPr>
        <w:t>
      7) Продуктивный капитальный запас рассчитывается усреднением чистых капитальных запасов в постоянных ценах двух последовательных лет.</w:t>
      </w:r>
    </w:p>
    <w:p>
      <w:pPr>
        <w:spacing w:after="0"/>
        <w:ind w:left="0"/>
        <w:jc w:val="both"/>
      </w:pPr>
      <w:r>
        <w:rPr>
          <w:rFonts w:ascii="Times New Roman"/>
          <w:b w:val="false"/>
          <w:i w:val="false"/>
          <w:color w:val="000000"/>
          <w:sz w:val="28"/>
        </w:rPr>
        <w:t xml:space="preserve">
      8) Расчет индекса капитальных услуг (геометрическая функция).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194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8194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350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капитальных услуг;</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sz w:val="28"/>
        </w:rPr>
        <w:t xml:space="preserve"> – продуктивный капитальный запас;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19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средние пользовательские затраты, рассчитанные по следующей формуле:</w:t>
      </w:r>
      <w:r>
        <w:br/>
      </w:r>
      <w:r>
        <w:rPr>
          <w:rFonts w:ascii="Times New Roman"/>
          <w:b w:val="false"/>
          <w:i w:val="false"/>
          <w:color w:val="000000"/>
          <w:sz w:val="28"/>
        </w:rPr>
        <w:t>
</w:t>
      </w:r>
      <w:r>
        <w:br/>
      </w:r>
    </w:p>
    <w:p>
      <w:pPr>
        <w:spacing w:after="0"/>
        <w:ind w:left="0"/>
        <w:jc w:val="both"/>
      </w:pPr>
      <w:r>
        <w:drawing>
          <wp:inline distT="0" distB="0" distL="0" distR="0">
            <wp:extent cx="28702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8702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vertAlign w:val="superscript"/>
        </w:rPr>
        <w:t>k,t</w:t>
      </w:r>
      <w:r>
        <w:rPr>
          <w:rFonts w:ascii="Times New Roman"/>
          <w:b w:val="false"/>
          <w:i w:val="false"/>
          <w:color w:val="000000"/>
          <w:sz w:val="28"/>
        </w:rPr>
        <w:t xml:space="preserve"> – пользовательские затраты типа актива k в период t, t-1.</w:t>
      </w:r>
    </w:p>
    <w:p>
      <w:pPr>
        <w:spacing w:after="0"/>
        <w:ind w:left="0"/>
        <w:jc w:val="both"/>
      </w:pPr>
      <w:r>
        <w:rPr>
          <w:rFonts w:ascii="Times New Roman"/>
          <w:b w:val="false"/>
          <w:i w:val="false"/>
          <w:color w:val="000000"/>
          <w:sz w:val="28"/>
        </w:rPr>
        <w:t>
      9) Расчет капитальных и трудовых затрат.</w:t>
      </w:r>
    </w:p>
    <w:p>
      <w:pPr>
        <w:spacing w:after="0"/>
        <w:ind w:left="0"/>
        <w:jc w:val="both"/>
      </w:pPr>
      <w:r>
        <w:rPr>
          <w:rFonts w:ascii="Times New Roman"/>
          <w:b w:val="false"/>
          <w:i w:val="false"/>
          <w:color w:val="000000"/>
          <w:sz w:val="28"/>
        </w:rPr>
        <w:t>
      Для оценки капитальных и трудовых затрат используются веса (доли) капитала и труда, которые рассчитываются подходами ex post или ex ante. Для определения весов используются компоненты Валового внутреннего продукта (далее – ВВП) методом доходов:</w:t>
      </w:r>
    </w:p>
    <w:p>
      <w:pPr>
        <w:spacing w:after="0"/>
        <w:ind w:left="0"/>
        <w:jc w:val="both"/>
      </w:pPr>
      <w:r>
        <w:rPr>
          <w:rFonts w:ascii="Times New Roman"/>
          <w:b w:val="false"/>
          <w:i w:val="false"/>
          <w:color w:val="000000"/>
          <w:sz w:val="28"/>
        </w:rPr>
        <w:t>
      ВВП рассчитывается суммой Оплата труда (</w:t>
      </w:r>
      <w:r>
        <w:rPr>
          <w:rFonts w:ascii="Times New Roman"/>
          <w:b w:val="false"/>
          <w:i/>
          <w:color w:val="000000"/>
          <w:sz w:val="28"/>
        </w:rPr>
        <w:t>CoE</w:t>
      </w:r>
      <w:r>
        <w:rPr>
          <w:rFonts w:ascii="Times New Roman"/>
          <w:b w:val="false"/>
          <w:i w:val="false"/>
          <w:color w:val="000000"/>
          <w:sz w:val="28"/>
        </w:rPr>
        <w:t>), Валовая операционная прибыль (</w:t>
      </w:r>
      <w:r>
        <w:rPr>
          <w:rFonts w:ascii="Times New Roman"/>
          <w:b w:val="false"/>
          <w:i/>
          <w:color w:val="000000"/>
          <w:sz w:val="28"/>
        </w:rPr>
        <w:t>GOS</w:t>
      </w:r>
      <w:r>
        <w:rPr>
          <w:rFonts w:ascii="Times New Roman"/>
          <w:b w:val="false"/>
          <w:i w:val="false"/>
          <w:color w:val="000000"/>
          <w:sz w:val="28"/>
        </w:rPr>
        <w:t>), Валовой смешанный доход (</w:t>
      </w:r>
      <w:r>
        <w:rPr>
          <w:rFonts w:ascii="Times New Roman"/>
          <w:b w:val="false"/>
          <w:i/>
          <w:color w:val="000000"/>
          <w:sz w:val="28"/>
        </w:rPr>
        <w:t>GMI</w:t>
      </w:r>
      <w:r>
        <w:rPr>
          <w:rFonts w:ascii="Times New Roman"/>
          <w:b w:val="false"/>
          <w:i w:val="false"/>
          <w:color w:val="000000"/>
          <w:sz w:val="28"/>
        </w:rPr>
        <w:t>), Налоги минус субсидии на производство (</w:t>
      </w:r>
      <w:r>
        <w:rPr>
          <w:rFonts w:ascii="Times New Roman"/>
          <w:b w:val="false"/>
          <w:i/>
          <w:color w:val="000000"/>
          <w:sz w:val="28"/>
        </w:rPr>
        <w:t>TSPI</w:t>
      </w:r>
      <w:r>
        <w:rPr>
          <w:rFonts w:ascii="Times New Roman"/>
          <w:b w:val="false"/>
          <w:i w:val="false"/>
          <w:color w:val="000000"/>
          <w:sz w:val="28"/>
        </w:rPr>
        <w:t>).</w:t>
      </w:r>
    </w:p>
    <w:p>
      <w:pPr>
        <w:spacing w:after="0"/>
        <w:ind w:left="0"/>
        <w:jc w:val="both"/>
      </w:pPr>
      <w:r>
        <w:rPr>
          <w:rFonts w:ascii="Times New Roman"/>
          <w:b w:val="false"/>
          <w:i w:val="false"/>
          <w:color w:val="000000"/>
          <w:sz w:val="28"/>
        </w:rPr>
        <w:t>
      Валовой смешанный доход (</w:t>
      </w:r>
      <w:r>
        <w:rPr>
          <w:rFonts w:ascii="Times New Roman"/>
          <w:b w:val="false"/>
          <w:i/>
          <w:color w:val="000000"/>
          <w:sz w:val="28"/>
        </w:rPr>
        <w:t>GMI</w:t>
      </w:r>
      <w:r>
        <w:rPr>
          <w:rFonts w:ascii="Times New Roman"/>
          <w:b w:val="false"/>
          <w:i w:val="false"/>
          <w:color w:val="000000"/>
          <w:sz w:val="28"/>
        </w:rPr>
        <w:t>) и Налоги минус субсидии на производство (</w:t>
      </w:r>
      <w:r>
        <w:rPr>
          <w:rFonts w:ascii="Times New Roman"/>
          <w:b w:val="false"/>
          <w:i/>
          <w:color w:val="000000"/>
          <w:sz w:val="28"/>
        </w:rPr>
        <w:t>TSPI</w:t>
      </w:r>
      <w:r>
        <w:rPr>
          <w:rFonts w:ascii="Times New Roman"/>
          <w:b w:val="false"/>
          <w:i w:val="false"/>
          <w:color w:val="000000"/>
          <w:sz w:val="28"/>
        </w:rPr>
        <w:t>) включают компоненты труда и капитала. Для их разграничения используются дополнительные данные по численности самостоятельно занятых (оплачиваемые и неоплачиваемые) и средней заработной плате, детализация налогов и субсидий на продукты.</w:t>
      </w:r>
    </w:p>
    <w:p>
      <w:pPr>
        <w:spacing w:after="0"/>
        <w:ind w:left="0"/>
        <w:jc w:val="both"/>
      </w:pPr>
      <w:r>
        <w:rPr>
          <w:rFonts w:ascii="Times New Roman"/>
          <w:b w:val="false"/>
          <w:i w:val="false"/>
          <w:color w:val="000000"/>
          <w:sz w:val="28"/>
        </w:rPr>
        <w:t>
      При использовании подхода ex post формула выглядит следующим образом: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2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724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1435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1435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Второй подход ex ante заменяет </w:t>
      </w:r>
      <w:r>
        <w:rPr>
          <w:rFonts w:ascii="Times New Roman"/>
          <w:b w:val="false"/>
          <w:i/>
          <w:color w:val="000000"/>
          <w:sz w:val="28"/>
        </w:rPr>
        <w:t>GOS</w:t>
      </w:r>
      <w:r>
        <w:rPr>
          <w:rFonts w:ascii="Times New Roman"/>
          <w:b w:val="false"/>
          <w:i w:val="false"/>
          <w:color w:val="000000"/>
          <w:sz w:val="28"/>
        </w:rPr>
        <w:t xml:space="preserve"> и </w:t>
      </w:r>
      <w:r>
        <w:rPr>
          <w:rFonts w:ascii="Times New Roman"/>
          <w:b w:val="false"/>
          <w:i/>
          <w:color w:val="000000"/>
          <w:sz w:val="28"/>
        </w:rPr>
        <w:t>GMI(K)</w:t>
      </w:r>
      <w:r>
        <w:rPr>
          <w:rFonts w:ascii="Times New Roman"/>
          <w:b w:val="false"/>
          <w:i w:val="false"/>
          <w:color w:val="000000"/>
          <w:sz w:val="28"/>
        </w:rPr>
        <w:t xml:space="preserve"> в числителе и знаменателе на сумму пользовательских затрат для каждого типа активов.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609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6609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3434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3434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Индекс трудовых затрат </w:t>
      </w:r>
    </w:p>
    <w:p>
      <w:pPr>
        <w:spacing w:after="0"/>
        <w:ind w:left="0"/>
        <w:jc w:val="both"/>
      </w:pPr>
      <w:r>
        <w:drawing>
          <wp:inline distT="0" distB="0" distL="0" distR="0">
            <wp:extent cx="609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6096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рассчитывается как отношение количества отработанных часов в текущем году к количеству отработанных часов в предыдущем году.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Комбинированный индекс капитальных и трудовых затрат получается путем умножения индекса трудовых затрат на индекс капитальных затрат (геометрическая функция).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753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5753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U</w:t>
      </w:r>
      <w:r>
        <w:rPr>
          <w:rFonts w:ascii="Times New Roman"/>
          <w:b w:val="false"/>
          <w:i w:val="false"/>
          <w:color w:val="000000"/>
          <w:vertAlign w:val="superscript"/>
        </w:rPr>
        <w:t>t</w:t>
      </w:r>
      <w:r>
        <w:rPr>
          <w:rFonts w:ascii="Times New Roman"/>
          <w:b w:val="false"/>
          <w:i w:val="false"/>
          <w:color w:val="000000"/>
          <w:sz w:val="28"/>
        </w:rPr>
        <w:t>- потоки капитальных услуг;</w:t>
      </w:r>
    </w:p>
    <w:p>
      <w:pPr>
        <w:spacing w:after="0"/>
        <w:ind w:left="0"/>
        <w:jc w:val="both"/>
      </w:pPr>
      <w:r>
        <w:rPr>
          <w:rFonts w:ascii="Times New Roman"/>
          <w:b w:val="false"/>
          <w:i w:val="false"/>
          <w:color w:val="000000"/>
          <w:sz w:val="28"/>
        </w:rPr>
        <w:t>
      L</w:t>
      </w:r>
      <w:r>
        <w:rPr>
          <w:rFonts w:ascii="Times New Roman"/>
          <w:b w:val="false"/>
          <w:i w:val="false"/>
          <w:color w:val="000000"/>
          <w:vertAlign w:val="superscript"/>
        </w:rPr>
        <w:t>t</w:t>
      </w:r>
      <w:r>
        <w:rPr>
          <w:rFonts w:ascii="Times New Roman"/>
          <w:b w:val="false"/>
          <w:i w:val="false"/>
          <w:color w:val="000000"/>
          <w:sz w:val="28"/>
        </w:rPr>
        <w:t>- потоки труда.</w:t>
      </w:r>
    </w:p>
    <w:p>
      <w:pPr>
        <w:spacing w:after="0"/>
        <w:ind w:left="0"/>
        <w:jc w:val="both"/>
      </w:pPr>
      <w:r>
        <w:rPr>
          <w:rFonts w:ascii="Times New Roman"/>
          <w:b w:val="false"/>
          <w:i w:val="false"/>
          <w:color w:val="000000"/>
          <w:sz w:val="28"/>
        </w:rPr>
        <w:t>
      11) Индекс МФП "капитал-труд" (год к году) рассчитывается делением индекса физического объема ВВП по формуле Ласпейреса на полученный комбинированный индекс капитальных и трудовых затрат. Получение цепного индекса МФП "капитал-труд" путем последовательного умножения полученных индексов.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764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6764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A</w:t>
      </w:r>
      <w:r>
        <w:rPr>
          <w:rFonts w:ascii="Times New Roman"/>
          <w:b w:val="false"/>
          <w:i w:val="false"/>
          <w:color w:val="000000"/>
          <w:vertAlign w:val="superscript"/>
        </w:rPr>
        <w:t>t</w:t>
      </w:r>
      <w:r>
        <w:rPr>
          <w:rFonts w:ascii="Times New Roman"/>
          <w:b w:val="false"/>
          <w:i w:val="false"/>
          <w:color w:val="000000"/>
          <w:sz w:val="28"/>
        </w:rPr>
        <w:t xml:space="preserve"> – Индекс МФП "капитал-труд";</w:t>
      </w:r>
    </w:p>
    <w:p>
      <w:pPr>
        <w:spacing w:after="0"/>
        <w:ind w:left="0"/>
        <w:jc w:val="both"/>
      </w:pPr>
      <w:r>
        <w:rPr>
          <w:rFonts w:ascii="Times New Roman"/>
          <w:b w:val="false"/>
          <w:i w:val="false"/>
          <w:color w:val="000000"/>
          <w:sz w:val="28"/>
        </w:rPr>
        <w:t>
      V</w:t>
      </w:r>
      <w:r>
        <w:rPr>
          <w:rFonts w:ascii="Times New Roman"/>
          <w:b w:val="false"/>
          <w:i w:val="false"/>
          <w:color w:val="000000"/>
          <w:vertAlign w:val="superscript"/>
        </w:rPr>
        <w:t>t</w:t>
      </w:r>
      <w:r>
        <w:rPr>
          <w:rFonts w:ascii="Times New Roman"/>
          <w:b w:val="false"/>
          <w:i w:val="false"/>
          <w:color w:val="000000"/>
          <w:sz w:val="28"/>
        </w:rPr>
        <w:t>– индекса физического объема ВВП по формуле Ласпейреса в период t;</w:t>
      </w:r>
    </w:p>
    <w:p>
      <w:pPr>
        <w:spacing w:after="0"/>
        <w:ind w:left="0"/>
        <w:jc w:val="both"/>
      </w:pPr>
      <w:r>
        <w:rPr>
          <w:rFonts w:ascii="Times New Roman"/>
          <w:b w:val="false"/>
          <w:i w:val="false"/>
          <w:color w:val="000000"/>
          <w:sz w:val="28"/>
        </w:rPr>
        <w:t>
      l</w:t>
      </w:r>
      <w:r>
        <w:rPr>
          <w:rFonts w:ascii="Times New Roman"/>
          <w:b w:val="false"/>
          <w:i w:val="false"/>
          <w:color w:val="000000"/>
          <w:vertAlign w:val="superscript"/>
        </w:rPr>
        <w:t xml:space="preserve">t </w:t>
      </w:r>
      <w:r>
        <w:rPr>
          <w:rFonts w:ascii="Times New Roman"/>
          <w:b w:val="false"/>
          <w:i w:val="false"/>
          <w:color w:val="000000"/>
          <w:sz w:val="28"/>
        </w:rPr>
        <w:t>– комбинированный индекс капитальных и трудовых затрат в период t.</w:t>
      </w:r>
    </w:p>
    <w:bookmarkStart w:name="z26" w:id="28"/>
    <w:p>
      <w:pPr>
        <w:spacing w:after="0"/>
        <w:ind w:left="0"/>
        <w:jc w:val="both"/>
      </w:pPr>
      <w:r>
        <w:rPr>
          <w:rFonts w:ascii="Times New Roman"/>
          <w:b w:val="false"/>
          <w:i w:val="false"/>
          <w:color w:val="000000"/>
          <w:sz w:val="28"/>
        </w:rPr>
        <w:t>
      14. Экспериментальные расчеты МФП проведены на основании официальной статистической информации. Работа по совершенствованию расчетов и используемых данных проводится в части восполнения пробелов по отсутствующим данным в объеме капитала.</w:t>
      </w:r>
    </w:p>
    <w:bookmarkEnd w:id="28"/>
    <w:p>
      <w:pPr>
        <w:spacing w:after="0"/>
        <w:ind w:left="0"/>
        <w:jc w:val="both"/>
      </w:pPr>
      <w:r>
        <w:rPr>
          <w:rFonts w:ascii="Times New Roman"/>
          <w:b w:val="false"/>
          <w:i w:val="false"/>
          <w:color w:val="000000"/>
          <w:sz w:val="28"/>
        </w:rPr>
        <w:t xml:space="preserve">
      На первом этапе потребление основного капитала по отдельным типам активов рассчитывается методом непрерывной инвентаризации при наличии соответствующего динамического ряда. В объем капитала кроме основных фондов, включаются и товарно-материальные запасы и непроизведенные активы, такие как земля, природные ресурсы. Проводится работа по стоимостной оценке непроизведенных активов. </w:t>
      </w:r>
    </w:p>
    <w:p>
      <w:pPr>
        <w:spacing w:after="0"/>
        <w:ind w:left="0"/>
        <w:jc w:val="both"/>
      </w:pPr>
      <w:r>
        <w:rPr>
          <w:rFonts w:ascii="Times New Roman"/>
          <w:b w:val="false"/>
          <w:i w:val="false"/>
          <w:color w:val="000000"/>
          <w:sz w:val="28"/>
        </w:rPr>
        <w:t>
      На втором этапе подготавливаются индексы цен предприятий производителей и импортных поступлений с учетом постоянного качества по всем типам активов, которые используются при пересчете из текущих цен в постоянные цены.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