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2961" w14:textId="f232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учета услуг центрального банка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ноября 2016 года № 271. Зарегистрирован в Министерстве юстиции Республики Казахстан 21 декабря 2016 года № 14539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а также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r>
        <w:rPr>
          <w:rFonts w:ascii="Times New Roman"/>
          <w:b/>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учета услуг центрального банка. </w:t>
      </w:r>
    </w:p>
    <w:bookmarkEnd w:id="1"/>
    <w:bookmarkStart w:name="z5" w:id="2"/>
    <w:p>
      <w:pPr>
        <w:spacing w:after="0"/>
        <w:ind w:left="0"/>
        <w:jc w:val="both"/>
      </w:pPr>
      <w:r>
        <w:rPr>
          <w:rFonts w:ascii="Times New Roman"/>
          <w:b w:val="false"/>
          <w:i w:val="false"/>
          <w:color w:val="000000"/>
          <w:sz w:val="28"/>
        </w:rPr>
        <w:t>
      2.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3.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8"/>
    <w:bookmarkStart w:name="z12"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Комитета по статистике</w:t>
            </w:r>
            <w:r>
              <w:br/>
            </w:r>
            <w:r>
              <w:rPr>
                <w:rFonts w:ascii="Times New Roman"/>
                <w:b w:val="false"/>
                <w:i/>
                <w:color w:val="000000"/>
                <w:sz w:val="20"/>
              </w:rPr>
              <w:t>Министерства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Айдапкелов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приказом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21 ноября 2016 года № 271 </w:t>
            </w:r>
          </w:p>
        </w:tc>
      </w:tr>
    </w:tbl>
    <w:bookmarkStart w:name="z15" w:id="10"/>
    <w:p>
      <w:pPr>
        <w:spacing w:after="0"/>
        <w:ind w:left="0"/>
        <w:jc w:val="left"/>
      </w:pPr>
      <w:r>
        <w:rPr>
          <w:rFonts w:ascii="Times New Roman"/>
          <w:b/>
          <w:i w:val="false"/>
          <w:color w:val="000000"/>
        </w:rPr>
        <w:t xml:space="preserve"> Методика учета услуг центрального банка </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Методика учета услуг центрального банка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12"/>
    <w:bookmarkStart w:name="z18" w:id="13"/>
    <w:p>
      <w:pPr>
        <w:spacing w:after="0"/>
        <w:ind w:left="0"/>
        <w:jc w:val="both"/>
      </w:pPr>
      <w:r>
        <w:rPr>
          <w:rFonts w:ascii="Times New Roman"/>
          <w:b w:val="false"/>
          <w:i w:val="false"/>
          <w:color w:val="000000"/>
          <w:sz w:val="28"/>
        </w:rPr>
        <w:t>
      2. Настоящая Методика применяется Комитетом по статистике Министерства национальной экономики Республики Казахстан при учете услуг центрального банка согласно международным стандартам и используется для целей Системы национальных счетов.</w:t>
      </w:r>
    </w:p>
    <w:bookmarkEnd w:id="13"/>
    <w:bookmarkStart w:name="z19" w:id="14"/>
    <w:p>
      <w:pPr>
        <w:spacing w:after="0"/>
        <w:ind w:left="0"/>
        <w:jc w:val="both"/>
      </w:pPr>
      <w:r>
        <w:rPr>
          <w:rFonts w:ascii="Times New Roman"/>
          <w:b w:val="false"/>
          <w:i w:val="false"/>
          <w:color w:val="000000"/>
          <w:sz w:val="28"/>
        </w:rPr>
        <w:t>
      3. Целью настоящей Методики является совершенствование расчетов услуг центрального банка в соответствии с последними достижениями методологических исследований, повышение надежности оценок валового выпуска, промежуточного потребления и добавленной стоимости, создаваемой в финансовом секторе.</w:t>
      </w:r>
    </w:p>
    <w:bookmarkEnd w:id="14"/>
    <w:bookmarkStart w:name="z20" w:id="15"/>
    <w:p>
      <w:pPr>
        <w:spacing w:after="0"/>
        <w:ind w:left="0"/>
        <w:jc w:val="both"/>
      </w:pPr>
      <w:r>
        <w:rPr>
          <w:rFonts w:ascii="Times New Roman"/>
          <w:b w:val="false"/>
          <w:i w:val="false"/>
          <w:color w:val="000000"/>
          <w:sz w:val="28"/>
        </w:rPr>
        <w:t>
      4. В качестве методологической основы использована Система национальных счетов 2008 года, подготовленная Международным Валютным Фондом (МВФ), Организацией экономического сотрудничества и развития (ОЭСР), Статистическим бюро Европейских сообществ (Евростат), Организацией Объединенных Наций (ООН) и Всемирным банком.</w:t>
      </w:r>
    </w:p>
    <w:bookmarkEnd w:id="15"/>
    <w:bookmarkStart w:name="z21" w:id="16"/>
    <w:p>
      <w:pPr>
        <w:spacing w:after="0"/>
        <w:ind w:left="0"/>
        <w:jc w:val="both"/>
      </w:pPr>
      <w:r>
        <w:rPr>
          <w:rFonts w:ascii="Times New Roman"/>
          <w:b w:val="false"/>
          <w:i w:val="false"/>
          <w:color w:val="000000"/>
          <w:sz w:val="28"/>
        </w:rPr>
        <w:t>
      5. В настоящей Методике используются следующие определения:</w:t>
      </w:r>
    </w:p>
    <w:bookmarkEnd w:id="16"/>
    <w:bookmarkStart w:name="z22" w:id="17"/>
    <w:p>
      <w:pPr>
        <w:spacing w:after="0"/>
        <w:ind w:left="0"/>
        <w:jc w:val="both"/>
      </w:pPr>
      <w:r>
        <w:rPr>
          <w:rFonts w:ascii="Times New Roman"/>
          <w:b w:val="false"/>
          <w:i w:val="false"/>
          <w:color w:val="000000"/>
          <w:sz w:val="28"/>
        </w:rPr>
        <w:t xml:space="preserve">
      1) промежуточное потребление - представляет собой стоимость товаров и услуг, которые трансформируются или полностью потребляются в отчетном периоде в качестве затрат на производство товаров и услуг в процессе производства; </w:t>
      </w:r>
    </w:p>
    <w:bookmarkEnd w:id="17"/>
    <w:bookmarkStart w:name="z23" w:id="18"/>
    <w:p>
      <w:pPr>
        <w:spacing w:after="0"/>
        <w:ind w:left="0"/>
        <w:jc w:val="both"/>
      </w:pPr>
      <w:r>
        <w:rPr>
          <w:rFonts w:ascii="Times New Roman"/>
          <w:b w:val="false"/>
          <w:i w:val="false"/>
          <w:color w:val="000000"/>
          <w:sz w:val="28"/>
        </w:rPr>
        <w:t>
      2) валовая добавленная стоимость – характеризует конечный результат производственной деятельности и представляет собой ценность, добавленную обработкой в данном производственном процессе. Исчисляется на уровне отраслей как разность между выпуском товаров и услуг и промежуточным потреблением, включает потребленную в процессе производства стоимость основного капитала;</w:t>
      </w:r>
    </w:p>
    <w:bookmarkEnd w:id="18"/>
    <w:bookmarkStart w:name="z24" w:id="19"/>
    <w:p>
      <w:pPr>
        <w:spacing w:after="0"/>
        <w:ind w:left="0"/>
        <w:jc w:val="both"/>
      </w:pPr>
      <w:r>
        <w:rPr>
          <w:rFonts w:ascii="Times New Roman"/>
          <w:b w:val="false"/>
          <w:i w:val="false"/>
          <w:color w:val="000000"/>
          <w:sz w:val="28"/>
        </w:rPr>
        <w:t>
      3) валовой внутренний продукт (ВВП) – один из важнейших показателей системы национальных счетов, характеризующий конечный результат экономической деятельности страны;</w:t>
      </w:r>
    </w:p>
    <w:bookmarkEnd w:id="19"/>
    <w:bookmarkStart w:name="z25" w:id="20"/>
    <w:p>
      <w:pPr>
        <w:spacing w:after="0"/>
        <w:ind w:left="0"/>
        <w:jc w:val="both"/>
      </w:pPr>
      <w:r>
        <w:rPr>
          <w:rFonts w:ascii="Times New Roman"/>
          <w:b w:val="false"/>
          <w:i w:val="false"/>
          <w:color w:val="000000"/>
          <w:sz w:val="28"/>
        </w:rPr>
        <w:t>
      4) нерыночный выпуск - товары и индивидуальные или коллективные услуги, произведенные некоммерческими организациями, обслуживающими домашние хозяйства, или органами государственного управления, предоставляемые другим институциональным единицам или обществу в целом бесплатно или по экономически незначимым ценам;</w:t>
      </w:r>
    </w:p>
    <w:bookmarkEnd w:id="20"/>
    <w:bookmarkStart w:name="z26" w:id="21"/>
    <w:p>
      <w:pPr>
        <w:spacing w:after="0"/>
        <w:ind w:left="0"/>
        <w:jc w:val="both"/>
      </w:pPr>
      <w:r>
        <w:rPr>
          <w:rFonts w:ascii="Times New Roman"/>
          <w:b w:val="false"/>
          <w:i w:val="false"/>
          <w:color w:val="000000"/>
          <w:sz w:val="28"/>
        </w:rPr>
        <w:t>
      5) рыночный выпуск - выпуск, предназначенный для продажи по экономически значимым ценам;</w:t>
      </w:r>
    </w:p>
    <w:bookmarkEnd w:id="21"/>
    <w:bookmarkStart w:name="z27" w:id="22"/>
    <w:p>
      <w:pPr>
        <w:spacing w:after="0"/>
        <w:ind w:left="0"/>
        <w:jc w:val="both"/>
      </w:pPr>
      <w:r>
        <w:rPr>
          <w:rFonts w:ascii="Times New Roman"/>
          <w:b w:val="false"/>
          <w:i w:val="false"/>
          <w:color w:val="000000"/>
          <w:sz w:val="28"/>
        </w:rPr>
        <w:t>
      6) потребление основного капитала – уменьшение в течение отчетного периода текущей стоимости запаса основных фондов, принадлежащих производителю и используемых им, в результате физического износа, нормального морального износа или случайных повреждений;</w:t>
      </w:r>
    </w:p>
    <w:bookmarkEnd w:id="22"/>
    <w:bookmarkStart w:name="z28" w:id="23"/>
    <w:p>
      <w:pPr>
        <w:spacing w:after="0"/>
        <w:ind w:left="0"/>
        <w:jc w:val="both"/>
      </w:pPr>
      <w:r>
        <w:rPr>
          <w:rFonts w:ascii="Times New Roman"/>
          <w:b w:val="false"/>
          <w:i w:val="false"/>
          <w:color w:val="000000"/>
          <w:sz w:val="28"/>
        </w:rPr>
        <w:t>
      7) другие налоги на производство – включают все налоги, кроме налогов на продукты, подлежащие выплате предприятиями в результате их участия в производстве;</w:t>
      </w:r>
    </w:p>
    <w:bookmarkEnd w:id="23"/>
    <w:bookmarkStart w:name="z29" w:id="24"/>
    <w:p>
      <w:pPr>
        <w:spacing w:after="0"/>
        <w:ind w:left="0"/>
        <w:jc w:val="both"/>
      </w:pPr>
      <w:r>
        <w:rPr>
          <w:rFonts w:ascii="Times New Roman"/>
          <w:b w:val="false"/>
          <w:i w:val="false"/>
          <w:color w:val="000000"/>
          <w:sz w:val="28"/>
        </w:rPr>
        <w:t xml:space="preserve">
      8) система национальных счетов (СНС) – система статистических показателей, построенная в виде определенного набора счетов и таблиц, характеризующих результаты экономической деятельности страны. </w:t>
      </w:r>
    </w:p>
    <w:bookmarkEnd w:id="24"/>
    <w:bookmarkStart w:name="z30" w:id="25"/>
    <w:p>
      <w:pPr>
        <w:spacing w:after="0"/>
        <w:ind w:left="0"/>
        <w:jc w:val="left"/>
      </w:pPr>
      <w:r>
        <w:rPr>
          <w:rFonts w:ascii="Times New Roman"/>
          <w:b/>
          <w:i w:val="false"/>
          <w:color w:val="000000"/>
        </w:rPr>
        <w:t xml:space="preserve"> Глава 2. Классификация услуг центрального банка в соответствии с Системой национальных счетов 2008 года</w:t>
      </w:r>
    </w:p>
    <w:bookmarkEnd w:id="25"/>
    <w:bookmarkStart w:name="z31" w:id="26"/>
    <w:p>
      <w:pPr>
        <w:spacing w:after="0"/>
        <w:ind w:left="0"/>
        <w:jc w:val="both"/>
      </w:pPr>
      <w:r>
        <w:rPr>
          <w:rFonts w:ascii="Times New Roman"/>
          <w:b w:val="false"/>
          <w:i w:val="false"/>
          <w:color w:val="000000"/>
          <w:sz w:val="28"/>
        </w:rPr>
        <w:t>
      6. Деятельность центрального банка состоит в осуществлении рыночных и нерыночных операций. В основе методологии исчисления выпуска услуг центрального банка проведено различие между рыночными и нерыночными операциями.</w:t>
      </w:r>
    </w:p>
    <w:bookmarkEnd w:id="26"/>
    <w:bookmarkStart w:name="z32" w:id="27"/>
    <w:p>
      <w:pPr>
        <w:spacing w:after="0"/>
        <w:ind w:left="0"/>
        <w:jc w:val="both"/>
      </w:pPr>
      <w:r>
        <w:rPr>
          <w:rFonts w:ascii="Times New Roman"/>
          <w:b w:val="false"/>
          <w:i w:val="false"/>
          <w:color w:val="000000"/>
          <w:sz w:val="28"/>
        </w:rPr>
        <w:t>
      7. Услуги, предоставляемые центральным банком, классифицируются на три категории:</w:t>
      </w:r>
    </w:p>
    <w:bookmarkEnd w:id="27"/>
    <w:bookmarkStart w:name="z33" w:id="28"/>
    <w:p>
      <w:pPr>
        <w:spacing w:after="0"/>
        <w:ind w:left="0"/>
        <w:jc w:val="both"/>
      </w:pPr>
      <w:r>
        <w:rPr>
          <w:rFonts w:ascii="Times New Roman"/>
          <w:b w:val="false"/>
          <w:i w:val="false"/>
          <w:color w:val="000000"/>
          <w:sz w:val="28"/>
        </w:rPr>
        <w:t>
      услуги, связанные с осуществлением денежно-кредитной политики;</w:t>
      </w:r>
    </w:p>
    <w:bookmarkEnd w:id="28"/>
    <w:bookmarkStart w:name="z34" w:id="29"/>
    <w:p>
      <w:pPr>
        <w:spacing w:after="0"/>
        <w:ind w:left="0"/>
        <w:jc w:val="both"/>
      </w:pPr>
      <w:r>
        <w:rPr>
          <w:rFonts w:ascii="Times New Roman"/>
          <w:b w:val="false"/>
          <w:i w:val="false"/>
          <w:color w:val="000000"/>
          <w:sz w:val="28"/>
        </w:rPr>
        <w:t>
      услуги финансового посредничества;</w:t>
      </w:r>
    </w:p>
    <w:bookmarkEnd w:id="29"/>
    <w:bookmarkStart w:name="z35" w:id="30"/>
    <w:p>
      <w:pPr>
        <w:spacing w:after="0"/>
        <w:ind w:left="0"/>
        <w:jc w:val="both"/>
      </w:pPr>
      <w:r>
        <w:rPr>
          <w:rFonts w:ascii="Times New Roman"/>
          <w:b w:val="false"/>
          <w:i w:val="false"/>
          <w:color w:val="000000"/>
          <w:sz w:val="28"/>
        </w:rPr>
        <w:t>
      услуги по осуществлению надзора и контроля над финансовыми организациями.</w:t>
      </w:r>
    </w:p>
    <w:bookmarkEnd w:id="30"/>
    <w:bookmarkStart w:name="z36" w:id="31"/>
    <w:p>
      <w:pPr>
        <w:spacing w:after="0"/>
        <w:ind w:left="0"/>
        <w:jc w:val="both"/>
      </w:pPr>
      <w:r>
        <w:rPr>
          <w:rFonts w:ascii="Times New Roman"/>
          <w:b w:val="false"/>
          <w:i w:val="false"/>
          <w:color w:val="000000"/>
          <w:sz w:val="28"/>
        </w:rPr>
        <w:t xml:space="preserve">
      Услуги, связанные с осуществлением денежно-кредитной политики, являются коллективными услугами, предоставляются обществу в целом, и составляют нерыночный выпуск. Нерыночные услуги представляют деятельность, осуществляемую в интересах всего общества, в национальных счетах эта деятельность отражается как расходы органов государственного управления на конечное потребление. </w:t>
      </w:r>
    </w:p>
    <w:bookmarkEnd w:id="31"/>
    <w:bookmarkStart w:name="z37" w:id="32"/>
    <w:p>
      <w:pPr>
        <w:spacing w:after="0"/>
        <w:ind w:left="0"/>
        <w:jc w:val="both"/>
      </w:pPr>
      <w:r>
        <w:rPr>
          <w:rFonts w:ascii="Times New Roman"/>
          <w:b w:val="false"/>
          <w:i w:val="false"/>
          <w:color w:val="000000"/>
          <w:sz w:val="28"/>
        </w:rPr>
        <w:t>
      Услуги финансового посредничества являются индивидуальными услугами и рассматриваются как рыночные услуги.</w:t>
      </w:r>
    </w:p>
    <w:bookmarkEnd w:id="32"/>
    <w:bookmarkStart w:name="z38" w:id="33"/>
    <w:p>
      <w:pPr>
        <w:spacing w:after="0"/>
        <w:ind w:left="0"/>
        <w:jc w:val="both"/>
      </w:pPr>
      <w:r>
        <w:rPr>
          <w:rFonts w:ascii="Times New Roman"/>
          <w:b w:val="false"/>
          <w:i w:val="false"/>
          <w:color w:val="000000"/>
          <w:sz w:val="28"/>
        </w:rPr>
        <w:t xml:space="preserve">
      Услуги по осуществлению надзора и контроля над финансовыми организациями рассматриваются как пограничные случаи, и в международной практике данная категория услуг рассматривается в качестве рыночных либо нерыночных услуг. </w:t>
      </w:r>
    </w:p>
    <w:bookmarkEnd w:id="33"/>
    <w:bookmarkStart w:name="z39" w:id="34"/>
    <w:p>
      <w:pPr>
        <w:spacing w:after="0"/>
        <w:ind w:left="0"/>
        <w:jc w:val="left"/>
      </w:pPr>
      <w:r>
        <w:rPr>
          <w:rFonts w:ascii="Times New Roman"/>
          <w:b/>
          <w:i w:val="false"/>
          <w:color w:val="000000"/>
        </w:rPr>
        <w:t xml:space="preserve"> Глава 3. Расчет валового выпуска услуг центрального банка</w:t>
      </w:r>
    </w:p>
    <w:bookmarkEnd w:id="34"/>
    <w:bookmarkStart w:name="z40" w:id="35"/>
    <w:p>
      <w:pPr>
        <w:spacing w:after="0"/>
        <w:ind w:left="0"/>
        <w:jc w:val="both"/>
      </w:pPr>
      <w:r>
        <w:rPr>
          <w:rFonts w:ascii="Times New Roman"/>
          <w:b w:val="false"/>
          <w:i w:val="false"/>
          <w:color w:val="000000"/>
          <w:sz w:val="28"/>
        </w:rPr>
        <w:t>
      8. При расчете выпуска и промежуточного потребления услуг центрального банка использованы административные источники данных.</w:t>
      </w:r>
    </w:p>
    <w:bookmarkEnd w:id="35"/>
    <w:bookmarkStart w:name="z41" w:id="36"/>
    <w:p>
      <w:pPr>
        <w:spacing w:after="0"/>
        <w:ind w:left="0"/>
        <w:jc w:val="both"/>
      </w:pPr>
      <w:r>
        <w:rPr>
          <w:rFonts w:ascii="Times New Roman"/>
          <w:b w:val="false"/>
          <w:i w:val="false"/>
          <w:color w:val="000000"/>
          <w:sz w:val="28"/>
        </w:rPr>
        <w:t>
      Классификация доходов, расходов и затрат на производство, используемая центральным банком не согласуется с принципами СНС и требует адаптации к принципам отражения деятельности центрального банка в СНС. Данные финансовой отчетности представляют исходную информацию, требующую дальнейшей обработки. При определении затрат на производство центрального банка принимаются во внимание особенности в организации деятельности и методы финансирования расходов центрального банка. В доходах и расходах центрального банка преобладают процентные поступления и выплаты, рассматриваемые в СНС как доходы от собственности, не являющиеся частью выпуска.</w:t>
      </w:r>
    </w:p>
    <w:bookmarkEnd w:id="36"/>
    <w:bookmarkStart w:name="z42" w:id="37"/>
    <w:p>
      <w:pPr>
        <w:spacing w:after="0"/>
        <w:ind w:left="0"/>
        <w:jc w:val="both"/>
      </w:pPr>
      <w:r>
        <w:rPr>
          <w:rFonts w:ascii="Times New Roman"/>
          <w:b w:val="false"/>
          <w:i w:val="false"/>
          <w:color w:val="000000"/>
          <w:sz w:val="28"/>
        </w:rPr>
        <w:t>
      9. Методология определения выпуска услуг центрального банка, принятая в Системе национальных счетов 2008 года предусматривает применение подхода, при котором оценка валового выпуска услуг центрального банка осуществляется по сумме затрат на производство.</w:t>
      </w:r>
    </w:p>
    <w:bookmarkEnd w:id="37"/>
    <w:bookmarkStart w:name="z43" w:id="38"/>
    <w:p>
      <w:pPr>
        <w:spacing w:after="0"/>
        <w:ind w:left="0"/>
        <w:jc w:val="both"/>
      </w:pPr>
      <w:r>
        <w:rPr>
          <w:rFonts w:ascii="Times New Roman"/>
          <w:b w:val="false"/>
          <w:i w:val="false"/>
          <w:color w:val="000000"/>
          <w:sz w:val="28"/>
        </w:rPr>
        <w:t>
      В настоящей Методике валовой выпуск услуг центрального банка оценивается как сумма следующих компонентов затрат:</w:t>
      </w:r>
    </w:p>
    <w:bookmarkEnd w:id="38"/>
    <w:bookmarkStart w:name="z44" w:id="39"/>
    <w:p>
      <w:pPr>
        <w:spacing w:after="0"/>
        <w:ind w:left="0"/>
        <w:jc w:val="both"/>
      </w:pPr>
      <w:r>
        <w:rPr>
          <w:rFonts w:ascii="Times New Roman"/>
          <w:b w:val="false"/>
          <w:i w:val="false"/>
          <w:color w:val="000000"/>
          <w:sz w:val="28"/>
        </w:rPr>
        <w:t>
      промежуточное потребление;</w:t>
      </w:r>
    </w:p>
    <w:bookmarkEnd w:id="39"/>
    <w:bookmarkStart w:name="z45" w:id="40"/>
    <w:p>
      <w:pPr>
        <w:spacing w:after="0"/>
        <w:ind w:left="0"/>
        <w:jc w:val="both"/>
      </w:pPr>
      <w:r>
        <w:rPr>
          <w:rFonts w:ascii="Times New Roman"/>
          <w:b w:val="false"/>
          <w:i w:val="false"/>
          <w:color w:val="000000"/>
          <w:sz w:val="28"/>
        </w:rPr>
        <w:t>
      оплата труда;</w:t>
      </w:r>
    </w:p>
    <w:bookmarkEnd w:id="40"/>
    <w:bookmarkStart w:name="z46" w:id="41"/>
    <w:p>
      <w:pPr>
        <w:spacing w:after="0"/>
        <w:ind w:left="0"/>
        <w:jc w:val="both"/>
      </w:pPr>
      <w:r>
        <w:rPr>
          <w:rFonts w:ascii="Times New Roman"/>
          <w:b w:val="false"/>
          <w:i w:val="false"/>
          <w:color w:val="000000"/>
          <w:sz w:val="28"/>
        </w:rPr>
        <w:t>
      потребление основного капитала;</w:t>
      </w:r>
    </w:p>
    <w:bookmarkEnd w:id="41"/>
    <w:bookmarkStart w:name="z47" w:id="42"/>
    <w:p>
      <w:pPr>
        <w:spacing w:after="0"/>
        <w:ind w:left="0"/>
        <w:jc w:val="both"/>
      </w:pPr>
      <w:r>
        <w:rPr>
          <w:rFonts w:ascii="Times New Roman"/>
          <w:b w:val="false"/>
          <w:i w:val="false"/>
          <w:color w:val="000000"/>
          <w:sz w:val="28"/>
        </w:rPr>
        <w:t>
      другие налоги на производство.</w:t>
      </w:r>
    </w:p>
    <w:bookmarkEnd w:id="42"/>
    <w:bookmarkStart w:name="z48" w:id="43"/>
    <w:p>
      <w:pPr>
        <w:spacing w:after="0"/>
        <w:ind w:left="0"/>
        <w:jc w:val="both"/>
      </w:pPr>
      <w:r>
        <w:rPr>
          <w:rFonts w:ascii="Times New Roman"/>
          <w:b w:val="false"/>
          <w:i w:val="false"/>
          <w:color w:val="000000"/>
          <w:sz w:val="28"/>
        </w:rPr>
        <w:t>
      10. Промежуточное потребление центрального банка включает данные о затратах на производство и фактические платежи за предоставленные услуги.</w:t>
      </w:r>
    </w:p>
    <w:bookmarkEnd w:id="43"/>
    <w:bookmarkStart w:name="z49" w:id="44"/>
    <w:p>
      <w:pPr>
        <w:spacing w:after="0"/>
        <w:ind w:left="0"/>
        <w:jc w:val="both"/>
      </w:pPr>
      <w:r>
        <w:rPr>
          <w:rFonts w:ascii="Times New Roman"/>
          <w:b w:val="false"/>
          <w:i w:val="false"/>
          <w:color w:val="000000"/>
          <w:sz w:val="28"/>
        </w:rPr>
        <w:t xml:space="preserve">
      К промежуточному потреблению относятся следующие расходы: комиссионные расходы, расходы по монетарной деятельности, расходы по немонетарной деятельности, расходы по выпуску банкнот и монет, прочие общехозяйственные и административные расходы. </w:t>
      </w:r>
    </w:p>
    <w:bookmarkEnd w:id="44"/>
    <w:bookmarkStart w:name="z50" w:id="45"/>
    <w:p>
      <w:pPr>
        <w:spacing w:after="0"/>
        <w:ind w:left="0"/>
        <w:jc w:val="both"/>
      </w:pPr>
      <w:r>
        <w:rPr>
          <w:rFonts w:ascii="Times New Roman"/>
          <w:b w:val="false"/>
          <w:i w:val="false"/>
          <w:color w:val="000000"/>
          <w:sz w:val="28"/>
        </w:rPr>
        <w:t xml:space="preserve">
      Комиссионные расходы включают расходы по кастодиальной, доверительной (трастовой) и прочей деятельности, прочие комиссии. В промежуточное потребление не включаются возмещаемые расходы – расходы, возникающие вследствие оплаты услуг, оказанных дочерним и другим организациям, впоследствии данные расходы подлежат возмещению со стороны указанных организаций. </w:t>
      </w:r>
    </w:p>
    <w:bookmarkEnd w:id="45"/>
    <w:bookmarkStart w:name="z51" w:id="46"/>
    <w:p>
      <w:pPr>
        <w:spacing w:after="0"/>
        <w:ind w:left="0"/>
        <w:jc w:val="both"/>
      </w:pPr>
      <w:r>
        <w:rPr>
          <w:rFonts w:ascii="Times New Roman"/>
          <w:b w:val="false"/>
          <w:i w:val="false"/>
          <w:color w:val="000000"/>
          <w:sz w:val="28"/>
        </w:rPr>
        <w:t xml:space="preserve">
      Прочие общехозяйственные и административные расходы включают командировочные расходы, автотранспортные расходы, расходы за услуги связи, расходы по охране и сигнализации, расходы по коммунальным услугам, расходы по текущему ремонту и техническому обслуживанию (осмотру) основных средств, расходы по полученному в аренду имуществу и по его страхованию, прочие расходы (расходы по аудиторским, консалтинговым, прочим специальным услугам). </w:t>
      </w:r>
    </w:p>
    <w:bookmarkEnd w:id="46"/>
    <w:bookmarkStart w:name="z52" w:id="47"/>
    <w:p>
      <w:pPr>
        <w:spacing w:after="0"/>
        <w:ind w:left="0"/>
        <w:jc w:val="both"/>
      </w:pPr>
      <w:r>
        <w:rPr>
          <w:rFonts w:ascii="Times New Roman"/>
          <w:b w:val="false"/>
          <w:i w:val="false"/>
          <w:color w:val="000000"/>
          <w:sz w:val="28"/>
        </w:rPr>
        <w:t>
      Из прочих общехозяйственных и административных расходов в промежуточное потребление не включаются расходы по страхованию основных средств, расходы на запасы, суточные включаются в компонент оплаты труда.</w:t>
      </w:r>
    </w:p>
    <w:bookmarkEnd w:id="47"/>
    <w:bookmarkStart w:name="z53" w:id="48"/>
    <w:p>
      <w:pPr>
        <w:spacing w:after="0"/>
        <w:ind w:left="0"/>
        <w:jc w:val="both"/>
      </w:pPr>
      <w:r>
        <w:rPr>
          <w:rFonts w:ascii="Times New Roman"/>
          <w:b w:val="false"/>
          <w:i w:val="false"/>
          <w:color w:val="000000"/>
          <w:sz w:val="28"/>
        </w:rPr>
        <w:t>
      11. Компонент оплаты труда включает расходы по заработной плате и прочие расчеты с персоналом, расходы на страхование персонала, дополнительные выплаты к заработной плате, социальные отчисления, социальный налог, расходы на подготовку кадров.</w:t>
      </w:r>
    </w:p>
    <w:bookmarkEnd w:id="48"/>
    <w:bookmarkStart w:name="z54" w:id="49"/>
    <w:p>
      <w:pPr>
        <w:spacing w:after="0"/>
        <w:ind w:left="0"/>
        <w:jc w:val="both"/>
      </w:pPr>
      <w:r>
        <w:rPr>
          <w:rFonts w:ascii="Times New Roman"/>
          <w:b w:val="false"/>
          <w:i w:val="false"/>
          <w:color w:val="000000"/>
          <w:sz w:val="28"/>
        </w:rPr>
        <w:t>
      12. Потребление основного капитала включает амортизацию и износ основных средств (компьютеры, автомобили, инструменты, инвентарь, мебель, машины и оборудование, здания и сооружения, передаточные устройства, прочие основные средства).</w:t>
      </w:r>
    </w:p>
    <w:bookmarkEnd w:id="49"/>
    <w:bookmarkStart w:name="z55" w:id="50"/>
    <w:p>
      <w:pPr>
        <w:spacing w:after="0"/>
        <w:ind w:left="0"/>
        <w:jc w:val="both"/>
      </w:pPr>
      <w:r>
        <w:rPr>
          <w:rFonts w:ascii="Times New Roman"/>
          <w:b w:val="false"/>
          <w:i w:val="false"/>
          <w:color w:val="000000"/>
          <w:sz w:val="28"/>
        </w:rPr>
        <w:t xml:space="preserve">
      13. Компонент другие налоги на производство включает социальный налог (55% от общей суммы социального налога). Оставшаяся сумма социального налога учитывается в компоненте оплаты труда. Плата за эмиссию в окружающую среду, сбор с аукционов, прочие налоги классифицируются как другие текущие налоги. </w:t>
      </w:r>
    </w:p>
    <w:bookmarkEnd w:id="50"/>
    <w:bookmarkStart w:name="z56" w:id="51"/>
    <w:p>
      <w:pPr>
        <w:spacing w:after="0"/>
        <w:ind w:left="0"/>
        <w:jc w:val="both"/>
      </w:pPr>
      <w:r>
        <w:rPr>
          <w:rFonts w:ascii="Times New Roman"/>
          <w:b w:val="false"/>
          <w:i w:val="false"/>
          <w:color w:val="000000"/>
          <w:sz w:val="28"/>
        </w:rPr>
        <w:t xml:space="preserve">
      Расчет валового выпуска услуг центрального банка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w:t>
      </w:r>
    </w:p>
    <w:bookmarkEnd w:id="51"/>
    <w:bookmarkStart w:name="z57" w:id="52"/>
    <w:p>
      <w:pPr>
        <w:spacing w:after="0"/>
        <w:ind w:left="0"/>
        <w:jc w:val="left"/>
      </w:pPr>
      <w:r>
        <w:rPr>
          <w:rFonts w:ascii="Times New Roman"/>
          <w:b/>
          <w:i w:val="false"/>
          <w:color w:val="000000"/>
        </w:rPr>
        <w:t xml:space="preserve"> Глава 4. Определение рыночного выпуска услуг центрального банка</w:t>
      </w:r>
    </w:p>
    <w:bookmarkEnd w:id="52"/>
    <w:bookmarkStart w:name="z58" w:id="53"/>
    <w:p>
      <w:pPr>
        <w:spacing w:after="0"/>
        <w:ind w:left="0"/>
        <w:jc w:val="both"/>
      </w:pPr>
      <w:r>
        <w:rPr>
          <w:rFonts w:ascii="Times New Roman"/>
          <w:b w:val="false"/>
          <w:i w:val="false"/>
          <w:color w:val="000000"/>
          <w:sz w:val="28"/>
        </w:rPr>
        <w:t>
      14. Рыночный компонент выпуска услуг центрального банка включает следующие статьи доходов: комиссионные доходы, доходы от реализации монет, доходы по сданным в аренду основным средствам, доходы по монетарной деятельности, доходы по немонетарной деятельности, за исключением процентных доходов. Процентные доходы показывают перераспределение доходов между различными субъектами экономики, что не является оказанием услуг и не включается в исчисление выпуска.</w:t>
      </w:r>
    </w:p>
    <w:bookmarkEnd w:id="53"/>
    <w:bookmarkStart w:name="z59" w:id="54"/>
    <w:p>
      <w:pPr>
        <w:spacing w:after="0"/>
        <w:ind w:left="0"/>
        <w:jc w:val="both"/>
      </w:pPr>
      <w:r>
        <w:rPr>
          <w:rFonts w:ascii="Times New Roman"/>
          <w:b w:val="false"/>
          <w:i w:val="false"/>
          <w:color w:val="000000"/>
          <w:sz w:val="28"/>
        </w:rPr>
        <w:t xml:space="preserve">
      Центральный банк оказывает услуги по доверительному управлению трастовым компаниям, пенсионному фонду и дочерним организациям, управляет активами или инвестирует полученные средства в финансовые инструменты в соответствии с указаниями клиента. Центральный банк получает комиссионное вознаграждение за оказание данных услуг, при этом расходы центрального банка, подлежащие возмещению со стороны вышеуказанных организаций, не включаются в оценку выпуска. </w:t>
      </w:r>
    </w:p>
    <w:bookmarkEnd w:id="54"/>
    <w:bookmarkStart w:name="z60" w:id="55"/>
    <w:p>
      <w:pPr>
        <w:spacing w:after="0"/>
        <w:ind w:left="0"/>
        <w:jc w:val="both"/>
      </w:pPr>
      <w:r>
        <w:rPr>
          <w:rFonts w:ascii="Times New Roman"/>
          <w:b w:val="false"/>
          <w:i w:val="false"/>
          <w:color w:val="000000"/>
          <w:sz w:val="28"/>
        </w:rPr>
        <w:t>
      Центральный банк осуществляет деятельность по надзору за финансовыми корпорациями, платежи за оказание надзорных услуг не производятся, в национальных счетах эти услуги отражаются как нерыночный выпуск.</w:t>
      </w:r>
    </w:p>
    <w:bookmarkEnd w:id="55"/>
    <w:bookmarkStart w:name="z61" w:id="56"/>
    <w:p>
      <w:pPr>
        <w:spacing w:after="0"/>
        <w:ind w:left="0"/>
        <w:jc w:val="both"/>
      </w:pPr>
      <w:r>
        <w:rPr>
          <w:rFonts w:ascii="Times New Roman"/>
          <w:b w:val="false"/>
          <w:i w:val="false"/>
          <w:color w:val="000000"/>
          <w:sz w:val="28"/>
        </w:rPr>
        <w:t xml:space="preserve">
      15. Значительная часть доходов центрального банка возникает в результате осуществления операций по покупке и продаже ценных бумаг и иностранной валюты. Осуществление этих операций не предполагает оказания центральным банком услуг участникам операций. Вследствие этого доходы от таких операций не включаются в выпуск услуг центрального банка. </w:t>
      </w:r>
    </w:p>
    <w:bookmarkEnd w:id="56"/>
    <w:bookmarkStart w:name="z62" w:id="57"/>
    <w:p>
      <w:pPr>
        <w:spacing w:after="0"/>
        <w:ind w:left="0"/>
        <w:jc w:val="left"/>
      </w:pPr>
      <w:r>
        <w:rPr>
          <w:rFonts w:ascii="Times New Roman"/>
          <w:b/>
          <w:i w:val="false"/>
          <w:color w:val="000000"/>
        </w:rPr>
        <w:t xml:space="preserve"> Глава 5. Представление нерыночного выпуска услуг центрального банка</w:t>
      </w:r>
    </w:p>
    <w:bookmarkEnd w:id="57"/>
    <w:bookmarkStart w:name="z63" w:id="58"/>
    <w:p>
      <w:pPr>
        <w:spacing w:after="0"/>
        <w:ind w:left="0"/>
        <w:jc w:val="both"/>
      </w:pPr>
      <w:r>
        <w:rPr>
          <w:rFonts w:ascii="Times New Roman"/>
          <w:b w:val="false"/>
          <w:i w:val="false"/>
          <w:color w:val="000000"/>
          <w:sz w:val="28"/>
        </w:rPr>
        <w:t>
      16. Стоимость рыночного выпуска, равная поступлениям от оказания рыночных услуг, вычитается из общего выпуска, рассчитанного по сумме затрат на производство, полученная разница представляет собой нерыночный выпуск. Валовая добавленная стоимость определяется как разница между валовым выпуском и промежуточным потреблением.</w:t>
      </w:r>
    </w:p>
    <w:bookmarkEnd w:id="58"/>
    <w:bookmarkStart w:name="z64" w:id="59"/>
    <w:p>
      <w:pPr>
        <w:spacing w:after="0"/>
        <w:ind w:left="0"/>
        <w:jc w:val="both"/>
      </w:pPr>
      <w:r>
        <w:rPr>
          <w:rFonts w:ascii="Times New Roman"/>
          <w:b w:val="false"/>
          <w:i w:val="false"/>
          <w:color w:val="000000"/>
          <w:sz w:val="28"/>
        </w:rPr>
        <w:t xml:space="preserve">
      Расчет рыночного, нерыночного выпуска и валовой добавленной стоимости услуг центрального банка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59"/>
    <w:bookmarkStart w:name="z65" w:id="60"/>
    <w:p>
      <w:pPr>
        <w:spacing w:after="0"/>
        <w:ind w:left="0"/>
        <w:jc w:val="both"/>
      </w:pPr>
      <w:r>
        <w:rPr>
          <w:rFonts w:ascii="Times New Roman"/>
          <w:b w:val="false"/>
          <w:i w:val="false"/>
          <w:color w:val="000000"/>
          <w:sz w:val="28"/>
        </w:rPr>
        <w:t>
      В соответствии с принципами СНС корпорации, к которым относится центральный банк, не имеют расходов на конечное потребление. Нерыночные услуги, связанные с осуществлением денежно-кредитной политики, рассматриваются как расходы на конечное потребление органов государственного управления. Органы государственного управления не несут расходы, фактически возникающие у центрального банка. По этой причине отражается текущий трансферт в размере стоимости нерыночного выпуска услуг центрального банка, выплаченный центральным банком и полученный органами государственного управления.</w:t>
      </w:r>
    </w:p>
    <w:bookmarkEnd w:id="60"/>
    <w:bookmarkStart w:name="z66" w:id="61"/>
    <w:p>
      <w:pPr>
        <w:spacing w:after="0"/>
        <w:ind w:left="0"/>
        <w:jc w:val="both"/>
      </w:pPr>
      <w:r>
        <w:rPr>
          <w:rFonts w:ascii="Times New Roman"/>
          <w:b w:val="false"/>
          <w:i w:val="false"/>
          <w:color w:val="000000"/>
          <w:sz w:val="28"/>
        </w:rPr>
        <w:t>
      Текущий трансферт от центрального банка сектору государственного управления в размере стоимости нерыночного выпуска отражается в счете вторичного распределения доходов: для центрального банка – на стороне использования, для сектора государственного управления – на стороне ресурсов. Данный трансферт используется для финансирования расходов сектора государственного управления на конечное потребление.</w:t>
      </w:r>
    </w:p>
    <w:bookmarkEnd w:id="61"/>
    <w:bookmarkStart w:name="z67" w:id="62"/>
    <w:p>
      <w:pPr>
        <w:spacing w:after="0"/>
        <w:ind w:left="0"/>
        <w:jc w:val="both"/>
      </w:pPr>
      <w:r>
        <w:rPr>
          <w:rFonts w:ascii="Times New Roman"/>
          <w:b w:val="false"/>
          <w:i w:val="false"/>
          <w:color w:val="000000"/>
          <w:sz w:val="28"/>
        </w:rPr>
        <w:t xml:space="preserve">
      17. Применение на практике положений настоящей Методики окажет влияние на размеры, отраслевую и институциональную структуру, на показатели структуры использования ВВП. Новая трактовка выпуска услуг центрального банка, отвечающая принципам Системы национальных счетов 2008 года, потребует изменений не только в счете производства и вторичного распределения доходов центрального банка, но и в счете использования располагаемого дохода сектора государственного управления, рассматриваемого в качестве конечного потребителя нерыночного выпуска услуг центрального банка. Используемый в настоящей Методике подход оценки валового выпуска услуг центрального банка по сумме затрат на производство является основой обеспечения международной сопоставимости показателя выпуска и связанным с ним других показателей СНС.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Методике учета услуг </w:t>
            </w:r>
            <w:r>
              <w:br/>
            </w:r>
            <w:r>
              <w:rPr>
                <w:rFonts w:ascii="Times New Roman"/>
                <w:b w:val="false"/>
                <w:i w:val="false"/>
                <w:color w:val="000000"/>
                <w:sz w:val="20"/>
              </w:rPr>
              <w:t xml:space="preserve">центрального банка </w:t>
            </w:r>
          </w:p>
        </w:tc>
      </w:tr>
    </w:tbl>
    <w:bookmarkStart w:name="z69" w:id="63"/>
    <w:p>
      <w:pPr>
        <w:spacing w:after="0"/>
        <w:ind w:left="0"/>
        <w:jc w:val="left"/>
      </w:pPr>
      <w:r>
        <w:rPr>
          <w:rFonts w:ascii="Times New Roman"/>
          <w:b/>
          <w:i w:val="false"/>
          <w:color w:val="000000"/>
        </w:rPr>
        <w:t xml:space="preserve"> Расчет валового выпуска услуг центрального банка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2158"/>
        <w:gridCol w:w="8725"/>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w:t>
            </w:r>
          </w:p>
          <w:bookmarkEnd w:id="64"/>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валового выпуска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статьи/счета из отчета о прибылях и убытках Национального Банка Республики Казахстан</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w:t>
            </w:r>
          </w:p>
          <w:bookmarkEnd w:id="65"/>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потребление</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монетарной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немонетарной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выпуску банкнот и монет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услуги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охране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текущему ремонту и техническому обслуживанию (осмотру) основных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полученному в аренду имуществу и по его страхованию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2</w:t>
            </w:r>
          </w:p>
          <w:bookmarkEnd w:id="66"/>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прочие расчеты с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страхование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(45% от общей суммы социального налога)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выплаты к заработной плате (премии,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подготовку кадров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3</w:t>
            </w:r>
          </w:p>
          <w:bookmarkEnd w:id="67"/>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Потребление основного капитала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 износ</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4</w:t>
            </w:r>
          </w:p>
          <w:bookmarkEnd w:id="68"/>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налоги на производство </w:t>
            </w:r>
          </w:p>
        </w:tc>
        <w:tc>
          <w:tcPr>
            <w:tcW w:w="8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(55% от общей суммы социального налога)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5</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валовой выпуск = Промежуточное потребление + Оплата труда + Потребление основного капитала + Другие налоги на производство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учета услуг </w:t>
            </w:r>
            <w:r>
              <w:br/>
            </w:r>
            <w:r>
              <w:rPr>
                <w:rFonts w:ascii="Times New Roman"/>
                <w:b w:val="false"/>
                <w:i w:val="false"/>
                <w:color w:val="000000"/>
                <w:sz w:val="20"/>
              </w:rPr>
              <w:t xml:space="preserve">центрального банка </w:t>
            </w:r>
          </w:p>
        </w:tc>
      </w:tr>
    </w:tbl>
    <w:bookmarkStart w:name="z93" w:id="70"/>
    <w:p>
      <w:pPr>
        <w:spacing w:after="0"/>
        <w:ind w:left="0"/>
        <w:jc w:val="left"/>
      </w:pPr>
      <w:r>
        <w:rPr>
          <w:rFonts w:ascii="Times New Roman"/>
          <w:b/>
          <w:i w:val="false"/>
          <w:color w:val="000000"/>
        </w:rPr>
        <w:t xml:space="preserve"> Расчет рыночного, нерыночного выпуска и валовой добавленной стоимости услуг центрального банка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604"/>
        <w:gridCol w:w="8474"/>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p>
          <w:bookmarkEnd w:id="71"/>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статьи/счета из отчета о прибылях и убытках Национального Банка Республики Казахстан</w:t>
            </w:r>
          </w:p>
        </w:tc>
      </w:tr>
      <w:tr>
        <w:trPr>
          <w:trHeight w:val="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1</w:t>
            </w:r>
          </w:p>
          <w:bookmarkEnd w:id="72"/>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выпуск</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монет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сданным в аренду основным средствам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по монетарной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по немонетарной деятельности</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2</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Нерыночный выпуск = Валовой выпуск – Рыночный выпуск</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3</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добавленная стоимость = Валовой выпуск – Промежуточное потребление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