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1045" w14:textId="51e1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октября 2016 года № 259. Зарегистрировано в Министерстве юстиции Республики Казахстан 14 декабря 2016 года № 14525.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рынка ценных бумаг, в которые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Департаменту рынка ценных бумаг (Хаджиева М.Ж.)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восьмого и девятого </w:t>
      </w:r>
      <w:r>
        <w:rPr>
          <w:rFonts w:ascii="Times New Roman"/>
          <w:b w:val="false"/>
          <w:i w:val="false"/>
          <w:color w:val="000000"/>
          <w:sz w:val="28"/>
        </w:rPr>
        <w:t>пункта 6</w:t>
      </w:r>
      <w:r>
        <w:rPr>
          <w:rFonts w:ascii="Times New Roman"/>
          <w:b w:val="false"/>
          <w:i w:val="false"/>
          <w:color w:val="000000"/>
          <w:sz w:val="28"/>
        </w:rPr>
        <w:t xml:space="preserve"> Перечня, которые вводятся в действие с 1 марта 2017 года.</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2016 года № 259</w:t>
            </w:r>
          </w:p>
        </w:tc>
      </w:tr>
    </w:tbl>
    <w:bookmarkStart w:name="z8" w:id="6"/>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w:t>
      </w:r>
      <w:r>
        <w:br/>
      </w:r>
      <w:r>
        <w:rPr>
          <w:rFonts w:ascii="Times New Roman"/>
          <w:b/>
          <w:i w:val="false"/>
          <w:color w:val="000000"/>
        </w:rPr>
        <w:t>по вопросам регулирования рынка ценных бумаг, в которые</w:t>
      </w:r>
      <w:r>
        <w:br/>
      </w:r>
      <w:r>
        <w:rPr>
          <w:rFonts w:ascii="Times New Roman"/>
          <w:b/>
          <w:i w:val="false"/>
          <w:color w:val="000000"/>
        </w:rPr>
        <w:t>вносятся изменения и дополнения</w:t>
      </w:r>
    </w:p>
    <w:bookmarkEnd w:id="6"/>
    <w:bookmarkStart w:name="z9" w:id="7"/>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60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акционерных и паевых инвестиционных фондов" (зарегистрированное в Реестре государственной регистрации нормативных правовых актов под № 7540, опубликованное 4 июля 2012 года в газете "Казахстанская правда" № 211-212 (27030-27031)) следующие изменения:</w:t>
      </w:r>
    </w:p>
    <w:bookmarkEnd w:id="7"/>
    <w:bookmarkStart w:name="z10" w:id="8"/>
    <w:p>
      <w:pPr>
        <w:spacing w:after="0"/>
        <w:ind w:left="0"/>
        <w:jc w:val="both"/>
      </w:pPr>
      <w:r>
        <w:rPr>
          <w:rFonts w:ascii="Times New Roman"/>
          <w:b w:val="false"/>
          <w:i w:val="false"/>
          <w:color w:val="000000"/>
          <w:sz w:val="28"/>
        </w:rPr>
        <w:t>
      заголовок изложить в следующей редакции:</w:t>
      </w:r>
    </w:p>
    <w:bookmarkEnd w:id="8"/>
    <w:p>
      <w:pPr>
        <w:spacing w:after="0"/>
        <w:ind w:left="0"/>
        <w:jc w:val="both"/>
      </w:pPr>
      <w:r>
        <w:rPr>
          <w:rFonts w:ascii="Times New Roman"/>
          <w:b w:val="false"/>
          <w:i w:val="false"/>
          <w:color w:val="000000"/>
          <w:sz w:val="28"/>
        </w:rPr>
        <w:t>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активов акционерных и паевых инвестиционных фондов";</w:t>
      </w:r>
    </w:p>
    <w:bookmarkStart w:name="z11"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в подпункт 1) внесено изменение на государственном языке, текст на русском языке не 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Перечень финансовых инструментов, которые могут входить в состав активов акционерных и паевых инвестиционных фондов,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4"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инвестирования финансовых инструментов и иного имущества, входящего в состав активов инвестиционного фонда, утвержденных указанным постановлением:</w:t>
      </w:r>
    </w:p>
    <w:bookmarkEnd w:id="11"/>
    <w:bookmarkStart w:name="z15" w:id="1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"Настоящие Правила инвестирования финансовых инструментов и иного имущества, входящего в состав активов инвестиционного фонда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2004 года "Об инвестиционных фондах" (далее - Закон) и устанавливают порядок инвестирования финансовых инструментов и иного имущества, входящего в состав активов акционерных и паевых инвестиционных фондов.";</w:t>
      </w:r>
    </w:p>
    <w:bookmarkStart w:name="z17" w:id="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xml:space="preserve">
      "6. Управляющая компания инвестирует активы открытых и интервальных паевых инвестиционных фондов и фондов недвижимости, находящиеся в инвестиционном управлении, в перечень финансовых инструментов, которые могут входить в состав активов акционерных и паевых инвестиционных фондов, определенный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Сделки за счет активов инвестиционного фонда совершаются на международных (иностранных) рынках ценных бумаг при соблюдении следующих условий:</w:t>
      </w:r>
    </w:p>
    <w:p>
      <w:pPr>
        <w:spacing w:after="0"/>
        <w:ind w:left="0"/>
        <w:jc w:val="both"/>
      </w:pPr>
      <w:r>
        <w:rPr>
          <w:rFonts w:ascii="Times New Roman"/>
          <w:b w:val="false"/>
          <w:i w:val="false"/>
          <w:color w:val="000000"/>
          <w:sz w:val="28"/>
        </w:rPr>
        <w:t>
      1) сделка по покупке акций (депозитарных расписок, базовым активом которых являются акции) заключается по цене, не превышающей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обращается данный финансовый инструмент, согласно информации, представленной в информационных аналитических системах Bloomberg или Reuters;</w:t>
      </w:r>
    </w:p>
    <w:p>
      <w:pPr>
        <w:spacing w:after="0"/>
        <w:ind w:left="0"/>
        <w:jc w:val="both"/>
      </w:pPr>
      <w:r>
        <w:rPr>
          <w:rFonts w:ascii="Times New Roman"/>
          <w:b w:val="false"/>
          <w:i w:val="false"/>
          <w:color w:val="000000"/>
          <w:sz w:val="28"/>
        </w:rPr>
        <w:t>
      2) сделка по продаже акций (депозитарных расписок, базовым активом которых являются акции) заключается по цене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p>
    <w:p>
      <w:pPr>
        <w:spacing w:after="0"/>
        <w:ind w:left="0"/>
        <w:jc w:val="both"/>
      </w:pPr>
      <w:r>
        <w:rPr>
          <w:rFonts w:ascii="Times New Roman"/>
          <w:b w:val="false"/>
          <w:i w:val="false"/>
          <w:color w:val="000000"/>
          <w:sz w:val="28"/>
        </w:rPr>
        <w:t>
      3) по долговым ценным бумагам, за исключением principal protected notes, а также по производным финансовым инструментам имеется распечатка котировок на покупку и (или) продажу с информационных аналитических систем Bloomberg или Reuters, либо в случае отсутствия таких котировок имеется не менее трех котировок от трех различных контрпартнеров. При отсутствии от контрпартнера ценовых предложений по данному финансовому инструменту, сообщение контрпартнера об отсутствии котировок или отказе в котировании финансового инструмента включается в отчет (документ) о заключении сделки.";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рынка ценных бумаг, в которые вносятся изменения и дополнения.</w:t>
      </w:r>
    </w:p>
    <w:bookmarkStart w:name="z20"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88 "Об утверждении Правил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(зарегистрированное в Реестре государственной регистрации нормативных правовых актов под № 7568, опубликованное 1 августа 2012 года в газете "Казахстанская правда" № 245-246 (27064-27065)) следующие изменения и дополнение:</w:t>
      </w:r>
    </w:p>
    <w:bookmarkEnd w:id="14"/>
    <w:bookmarkStart w:name="z21" w:id="15"/>
    <w:p>
      <w:pPr>
        <w:spacing w:after="0"/>
        <w:ind w:left="0"/>
        <w:jc w:val="both"/>
      </w:pPr>
      <w:r>
        <w:rPr>
          <w:rFonts w:ascii="Times New Roman"/>
          <w:b w:val="false"/>
          <w:i w:val="false"/>
          <w:color w:val="000000"/>
          <w:sz w:val="28"/>
        </w:rPr>
        <w:t>
      заголовок изложить в следующей редакции:</w:t>
      </w:r>
    </w:p>
    <w:bookmarkEnd w:id="15"/>
    <w:p>
      <w:pPr>
        <w:spacing w:after="0"/>
        <w:ind w:left="0"/>
        <w:jc w:val="both"/>
      </w:pPr>
      <w:r>
        <w:rPr>
          <w:rFonts w:ascii="Times New Roman"/>
          <w:b w:val="false"/>
          <w:i w:val="false"/>
          <w:color w:val="000000"/>
          <w:sz w:val="28"/>
        </w:rPr>
        <w:t>
      "Об утверждении Правил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и сроков предоставления информации в Национальный Банк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исполнения представителем держателей облигаций своих функций и обязанностей, досрочного прекращения его полномочий, а также требования к содержанию договора о представлении интересов держателей облигаций, заключаемого между эмитентом и представителем держателей облигаций, и сроки предоставления информации в Национальный Банк Республики Казахстан.";</w:t>
      </w:r>
    </w:p>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"Правила исполнения представителем держателей облигаций своих функций и обязанностей, досрочного прекращения его полномочий, а также требования к содержанию договора о представлении интересов держателей облигаций, заключаемого между эмитентом и представителем держателей облигаций, и сроки предоставления информации в Национальный Банк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"Настоящие Правила исполнения представителем держателей облигаций своих функций и обязанностей, досрочного прекращения его полномочий, а также требования к содержанию договора о представлении интересов держателей облигаций, заключаемого между эмитентом и представителем держателей облигаций, и сроки предоставления информации в Национальный Банк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и определяют порядок исполнения представителем держателей облигаций (далее - представитель) своих функций и обязанностей, порядок и случаи досрочного прекращения его полномочий, а также требования к содержанию договора о представлении интересов держателей облигаций, заключаемого между эмитентом и представителем, и сроки предоставления информации в Национальный Банк Республики Казахстан (далее – уполномоченный орган)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20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Контроль за исполнением эмитентом обязательств перед держателями облигаций осуществляется представителем путем анализа информации об эмитенте:</w:t>
      </w:r>
    </w:p>
    <w:p>
      <w:pPr>
        <w:spacing w:after="0"/>
        <w:ind w:left="0"/>
        <w:jc w:val="both"/>
      </w:pPr>
      <w:r>
        <w:rPr>
          <w:rFonts w:ascii="Times New Roman"/>
          <w:b w:val="false"/>
          <w:i w:val="false"/>
          <w:color w:val="000000"/>
          <w:sz w:val="28"/>
        </w:rPr>
        <w:t>
      1) размещаемой на интернет-ресурсах депозитария финансовой отчетности, в том числе годовой финансовой отчетности и аудиторского отчета (при наличии), определенного в соответствии с законодательством Республики Казахстан о бухгалтерском учете и финансовой отчетности, и фондовой биржи, в список которой включены выпущенные эмитентом ценные бумаги;</w:t>
      </w:r>
    </w:p>
    <w:p>
      <w:pPr>
        <w:spacing w:after="0"/>
        <w:ind w:left="0"/>
        <w:jc w:val="both"/>
      </w:pPr>
      <w:r>
        <w:rPr>
          <w:rFonts w:ascii="Times New Roman"/>
          <w:b w:val="false"/>
          <w:i w:val="false"/>
          <w:color w:val="000000"/>
          <w:sz w:val="28"/>
        </w:rPr>
        <w:t>
      2) публикуемой в средствах массовой информации;</w:t>
      </w:r>
    </w:p>
    <w:p>
      <w:pPr>
        <w:spacing w:after="0"/>
        <w:ind w:left="0"/>
        <w:jc w:val="both"/>
      </w:pPr>
      <w:r>
        <w:rPr>
          <w:rFonts w:ascii="Times New Roman"/>
          <w:b w:val="false"/>
          <w:i w:val="false"/>
          <w:color w:val="000000"/>
          <w:sz w:val="28"/>
        </w:rPr>
        <w:t>
      3) содержащейся в периодических отчетах эмитента, предоставляемых в порядке и сроки, установленные договором о представлении интересов держателей облигаций, заключаемым между эмитентом и представителем (далее – договор);</w:t>
      </w:r>
    </w:p>
    <w:p>
      <w:pPr>
        <w:spacing w:after="0"/>
        <w:ind w:left="0"/>
        <w:jc w:val="both"/>
      </w:pPr>
      <w:r>
        <w:rPr>
          <w:rFonts w:ascii="Times New Roman"/>
          <w:b w:val="false"/>
          <w:i w:val="false"/>
          <w:color w:val="000000"/>
          <w:sz w:val="28"/>
        </w:rPr>
        <w:t>
      4) содержащейся в сведениях об исполнении эмитентом обязательств перед держателями облигаций, предоставляемых представителю в соответствии с его запросами.";</w:t>
      </w:r>
    </w:p>
    <w:bookmarkStart w:name="z27" w:id="17"/>
    <w:p>
      <w:pPr>
        <w:spacing w:after="0"/>
        <w:ind w:left="0"/>
        <w:jc w:val="both"/>
      </w:pPr>
      <w:r>
        <w:rPr>
          <w:rFonts w:ascii="Times New Roman"/>
          <w:b w:val="false"/>
          <w:i w:val="false"/>
          <w:color w:val="000000"/>
          <w:sz w:val="28"/>
        </w:rPr>
        <w:t>
      дополнить пунктом 1-1 следующего содержания:</w:t>
      </w:r>
    </w:p>
    <w:bookmarkEnd w:id="17"/>
    <w:p>
      <w:pPr>
        <w:spacing w:after="0"/>
        <w:ind w:left="0"/>
        <w:jc w:val="both"/>
      </w:pPr>
      <w:r>
        <w:rPr>
          <w:rFonts w:ascii="Times New Roman"/>
          <w:b w:val="false"/>
          <w:i w:val="false"/>
          <w:color w:val="000000"/>
          <w:sz w:val="28"/>
        </w:rPr>
        <w:t xml:space="preserve">
      "1-1. Представитель информирует уполномоченный орган и держателей облигаций о своих действиях в соответствии с подпунктами 1), 1-1), 2), 3), 3-1) и 4) </w:t>
      </w:r>
      <w:r>
        <w:rPr>
          <w:rFonts w:ascii="Times New Roman"/>
          <w:b w:val="false"/>
          <w:i w:val="false"/>
          <w:color w:val="000000"/>
          <w:sz w:val="28"/>
        </w:rPr>
        <w:t>пункта 1</w:t>
      </w:r>
      <w:r>
        <w:rPr>
          <w:rFonts w:ascii="Times New Roman"/>
          <w:b w:val="false"/>
          <w:i w:val="false"/>
          <w:color w:val="000000"/>
          <w:sz w:val="28"/>
        </w:rPr>
        <w:t xml:space="preserve"> статьи 20 Закона и о результатах таких действий:</w:t>
      </w:r>
    </w:p>
    <w:p>
      <w:pPr>
        <w:spacing w:after="0"/>
        <w:ind w:left="0"/>
        <w:jc w:val="both"/>
      </w:pPr>
      <w:r>
        <w:rPr>
          <w:rFonts w:ascii="Times New Roman"/>
          <w:b w:val="false"/>
          <w:i w:val="false"/>
          <w:color w:val="000000"/>
          <w:sz w:val="28"/>
        </w:rPr>
        <w:t>
      1) ежеквартально, не позднее последнего календарного дня второго месяца, следующего за отчетным кварталом – в отношении эмитентов, чьи ценные бумаги не обращаются на площадке фондовой биржи, функционирующей на территории иностранного государства;</w:t>
      </w:r>
    </w:p>
    <w:p>
      <w:pPr>
        <w:spacing w:after="0"/>
        <w:ind w:left="0"/>
        <w:jc w:val="both"/>
      </w:pPr>
      <w:r>
        <w:rPr>
          <w:rFonts w:ascii="Times New Roman"/>
          <w:b w:val="false"/>
          <w:i w:val="false"/>
          <w:color w:val="000000"/>
          <w:sz w:val="28"/>
        </w:rPr>
        <w:t xml:space="preserve">
      2) не позднее последнего календарного дня месяца, следующего за месяцем, в котором представителем получена информация от эмитента, предусмотренная абзацем третьим </w:t>
      </w:r>
      <w:r>
        <w:rPr>
          <w:rFonts w:ascii="Times New Roman"/>
          <w:b w:val="false"/>
          <w:i w:val="false"/>
          <w:color w:val="000000"/>
          <w:sz w:val="28"/>
        </w:rPr>
        <w:t>подпункта 1)</w:t>
      </w:r>
      <w:r>
        <w:rPr>
          <w:rFonts w:ascii="Times New Roman"/>
          <w:b w:val="false"/>
          <w:i w:val="false"/>
          <w:color w:val="000000"/>
          <w:sz w:val="28"/>
        </w:rPr>
        <w:t xml:space="preserve"> пункта 10 Правил – в отношении эмитентов,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w:t>
      </w:r>
    </w:p>
    <w:p>
      <w:pPr>
        <w:spacing w:after="0"/>
        <w:ind w:left="0"/>
        <w:jc w:val="both"/>
      </w:pPr>
      <w:r>
        <w:rPr>
          <w:rFonts w:ascii="Times New Roman"/>
          <w:b w:val="false"/>
          <w:i w:val="false"/>
          <w:color w:val="000000"/>
          <w:sz w:val="28"/>
        </w:rPr>
        <w:t>
      Информация об исполнении представителем своих функций и обязанностей, представляемая уполномоченному органу и держателям облигаций в отношении эмитента, чьи ценные бумаги не обращаются на фондовой бирже, содержит финансовую отчетность эмитента за отчетный квартал.</w:t>
      </w:r>
    </w:p>
    <w:p>
      <w:pPr>
        <w:spacing w:after="0"/>
        <w:ind w:left="0"/>
        <w:jc w:val="both"/>
      </w:pPr>
      <w:r>
        <w:rPr>
          <w:rFonts w:ascii="Times New Roman"/>
          <w:b w:val="false"/>
          <w:i w:val="false"/>
          <w:color w:val="000000"/>
          <w:sz w:val="28"/>
        </w:rPr>
        <w:t>
      Эмитент, имеющий дочернюю организацию, представляет представителю неконсолидированную финансовую отчетность в случае отсутствия консолидированной финансовой отчетности.</w:t>
      </w:r>
    </w:p>
    <w:p>
      <w:pPr>
        <w:spacing w:after="0"/>
        <w:ind w:left="0"/>
        <w:jc w:val="both"/>
      </w:pPr>
      <w:r>
        <w:rPr>
          <w:rFonts w:ascii="Times New Roman"/>
          <w:b w:val="false"/>
          <w:i w:val="false"/>
          <w:color w:val="000000"/>
          <w:sz w:val="28"/>
        </w:rPr>
        <w:t xml:space="preserve">
      Эмитент, являющийся банком второго уровня, представляет представителю отчет об остатках на балансовых счетах банков второго уровня и ипотечных организаций и отчет об остатках на внебалансовых счетах банков второго уровня и ипотечных организаций, составленные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постановлению Правления Национального Банка Республики Казахстан от 8 мая 2015 года № 74 "Об утверждении перечня, форм, сроков отчетности об остатках на балансовых счетах банков второго уровня и ипотечных организаций и Правил их представления", зарегистрированному в Реестре государственной регистрации нормативных правовых актов под № 11160.</w:t>
      </w:r>
    </w:p>
    <w:p>
      <w:pPr>
        <w:spacing w:after="0"/>
        <w:ind w:left="0"/>
        <w:jc w:val="both"/>
      </w:pPr>
      <w:r>
        <w:rPr>
          <w:rFonts w:ascii="Times New Roman"/>
          <w:b w:val="false"/>
          <w:i w:val="false"/>
          <w:color w:val="000000"/>
          <w:sz w:val="28"/>
        </w:rPr>
        <w:t>
      Эмитент,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 представляет представителю финансовую отчетность за отчетный квартал (в случае наличия у данного эмитента дочерней организации – консолидированную финансовую отчетность) в сроки, установленные внутренними документами фондовой биржи, функционирующей на территории Республики Казахстан, в список которой включены ценные бумаги эмитента.";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10 изложить в следующей редакции:</w:t>
      </w:r>
    </w:p>
    <w:p>
      <w:pPr>
        <w:spacing w:after="0"/>
        <w:ind w:left="0"/>
        <w:jc w:val="both"/>
      </w:pPr>
      <w:r>
        <w:rPr>
          <w:rFonts w:ascii="Times New Roman"/>
          <w:b w:val="false"/>
          <w:i w:val="false"/>
          <w:color w:val="000000"/>
          <w:sz w:val="28"/>
        </w:rPr>
        <w:t>
      "1) финансовая отчетность (ежеквартальная), в случае если договором не предусмотрено получение представителем данной отчетности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ежеквартально, не позднее месяца, следующего за отчетным кварталом;</w:t>
      </w:r>
    </w:p>
    <w:p>
      <w:pPr>
        <w:spacing w:after="0"/>
        <w:ind w:left="0"/>
        <w:jc w:val="both"/>
      </w:pPr>
      <w:r>
        <w:rPr>
          <w:rFonts w:ascii="Times New Roman"/>
          <w:b w:val="false"/>
          <w:i w:val="false"/>
          <w:color w:val="000000"/>
          <w:sz w:val="28"/>
        </w:rPr>
        <w:t>
      в сроки, установленные внутренними документами фондовой биржи, функционирующей на территории Республики Казахстан, в список которой включены ценные бумаги эмитента – для эмитента,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w:t>
      </w:r>
    </w:p>
    <w:p>
      <w:pPr>
        <w:spacing w:after="0"/>
        <w:ind w:left="0"/>
        <w:jc w:val="both"/>
      </w:pPr>
      <w:r>
        <w:rPr>
          <w:rFonts w:ascii="Times New Roman"/>
          <w:b w:val="false"/>
          <w:i w:val="false"/>
          <w:color w:val="000000"/>
          <w:sz w:val="28"/>
        </w:rPr>
        <w:t>
      2) годовая финансовая отчетность и аудиторский отчет (при наличии), в случае если договором не предусмотрено получение представителем данной отчетности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в течение 30 (тридцати) календарных дней с даты их утверждения на годовом общем собрании акционеров (участников);</w:t>
      </w:r>
    </w:p>
    <w:p>
      <w:pPr>
        <w:spacing w:after="0"/>
        <w:ind w:left="0"/>
        <w:jc w:val="both"/>
      </w:pPr>
      <w:r>
        <w:rPr>
          <w:rFonts w:ascii="Times New Roman"/>
          <w:b w:val="false"/>
          <w:i w:val="false"/>
          <w:color w:val="000000"/>
          <w:sz w:val="28"/>
        </w:rPr>
        <w:t>
      в сроки, установленные внутренними документами фондовой биржи, функционирующей на территории Республики Казахстан, в список которой включены ценные бумаги эмитента – для эмитента, чьи ценные бумаги включены в список фондовой биржи, функционирующей на территории Республики Казахстан, и обращаются на площадке фондовой биржи, функционирующей на территории иностранного государства;".</w:t>
      </w:r>
    </w:p>
    <w:bookmarkStart w:name="z29" w:id="18"/>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Утратил силу постановлением Правления Национального Банка РК от 28.12.2018 </w:t>
      </w:r>
      <w:r>
        <w:rPr>
          <w:rFonts w:ascii="Times New Roman"/>
          <w:b w:val="false"/>
          <w:i w:val="false"/>
          <w:color w:val="000000"/>
          <w:sz w:val="28"/>
        </w:rPr>
        <w:t>№ 318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Утратил силу постановлением Правления Агентства РК по регулированию и развитию финансового рынка от 14.04.2026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(зарегистрированное в Реестре государственной регистрации нормативных правовых актов под № 9249, опубликованное 16 апреля 2014 года в информационно-правовой системе "Әділет") следующие изменения:</w:t>
      </w:r>
    </w:p>
    <w:bookmarkEnd w:id="19"/>
    <w:bookmarkStart w:name="z4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утвержденных указанным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 фондовой биржи, клиринговой организации и (или) расчетной организации, осуществляющей организацию расчетов (платежей) по сделкам с финансовыми инструментами (далее - расчетная организация), и (или) иностранной расчетной организации.</w:t>
      </w:r>
    </w:p>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Республики Казахстан от 2 июля 2003 года "О рынке ценных бумаг", имеющая долгосрочную кредитную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p>
      <w:pPr>
        <w:spacing w:after="0"/>
        <w:ind w:left="0"/>
        <w:jc w:val="both"/>
      </w:pPr>
      <w:r>
        <w:rPr>
          <w:rFonts w:ascii="Times New Roman"/>
          <w:b w:val="false"/>
          <w:i w:val="false"/>
          <w:color w:val="000000"/>
          <w:sz w:val="28"/>
        </w:rPr>
        <w:t>
      организация-нерезидент Республики Казахстан, являющаяся членом Международной ассоциации по вопросам обслуживания ценных бумаг (International Securities Services Association).";</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"30. Уведомления, предусмотренные </w:t>
      </w:r>
      <w:r>
        <w:rPr>
          <w:rFonts w:ascii="Times New Roman"/>
          <w:b w:val="false"/>
          <w:i w:val="false"/>
          <w:color w:val="000000"/>
          <w:sz w:val="28"/>
        </w:rPr>
        <w:t>пунктом 29</w:t>
      </w:r>
      <w:r>
        <w:rPr>
          <w:rFonts w:ascii="Times New Roman"/>
          <w:b w:val="false"/>
          <w:i w:val="false"/>
          <w:color w:val="000000"/>
          <w:sz w:val="28"/>
        </w:rPr>
        <w:t xml:space="preserve"> Правил, оформляются в письменном виде и направляются брокером и (или) дилером клиенту почтой и (или) нарочным, и (или) электронной почтой или иными возможными видами связи, и (или) размещаются на интернет-ресурсе брокера и (или) дилера в течение 3 (трех) рабочих дней со дня возникновения основания отправки такого уведомления.";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Клиентский заказ содержит следующие реквизиты:</w:t>
      </w:r>
    </w:p>
    <w:p>
      <w:pPr>
        <w:spacing w:after="0"/>
        <w:ind w:left="0"/>
        <w:jc w:val="both"/>
      </w:pPr>
      <w:r>
        <w:rPr>
          <w:rFonts w:ascii="Times New Roman"/>
          <w:b w:val="false"/>
          <w:i w:val="false"/>
          <w:color w:val="000000"/>
          <w:sz w:val="28"/>
        </w:rPr>
        <w:t>
      1) указание на вид сделки с финансовыми инструментами, подлежащей совершению в соответствии с данным клиентским заказом;</w:t>
      </w:r>
    </w:p>
    <w:p>
      <w:pPr>
        <w:spacing w:after="0"/>
        <w:ind w:left="0"/>
        <w:jc w:val="both"/>
      </w:pPr>
      <w:r>
        <w:rPr>
          <w:rFonts w:ascii="Times New Roman"/>
          <w:b w:val="false"/>
          <w:i w:val="false"/>
          <w:color w:val="000000"/>
          <w:sz w:val="28"/>
        </w:rPr>
        <w:t>
      2) сведения о клиенте, в интересах которого предполагается совершение сделки с финансовыми инструментами:</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номер документа, удостоверяющего личность;</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дата и номер справки или свидетельства о государственной регистрации (перерегистрации) юридического лица, наименование органа, осуществившего его государственную регистрацию (перерегистрацию);</w:t>
      </w:r>
    </w:p>
    <w:p>
      <w:pPr>
        <w:spacing w:after="0"/>
        <w:ind w:left="0"/>
        <w:jc w:val="both"/>
      </w:pPr>
      <w:r>
        <w:rPr>
          <w:rFonts w:ascii="Times New Roman"/>
          <w:b w:val="false"/>
          <w:i w:val="false"/>
          <w:color w:val="000000"/>
          <w:sz w:val="28"/>
        </w:rPr>
        <w:t>
      3) наименование эмитента, вид финансового инструмента, код финансового инструмента или национальный идентификационный номер (в отношении иностранных ценных бумаг - международный идентификационный номер (ISIN),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 сделка с которыми подлежит совершению в соответствии с данным клиентским заказом;</w:t>
      </w:r>
    </w:p>
    <w:p>
      <w:pPr>
        <w:spacing w:after="0"/>
        <w:ind w:left="0"/>
        <w:jc w:val="both"/>
      </w:pPr>
      <w:r>
        <w:rPr>
          <w:rFonts w:ascii="Times New Roman"/>
          <w:b w:val="false"/>
          <w:i w:val="false"/>
          <w:color w:val="000000"/>
          <w:sz w:val="28"/>
        </w:rPr>
        <w:t>
      4) количество финансовых инструментов, подлежащих покупке или продаже, цена покупки или продажи финансовых инструментов, а также сведения, необходимые для надлежащего совершения сделки;</w:t>
      </w:r>
    </w:p>
    <w:p>
      <w:pPr>
        <w:spacing w:after="0"/>
        <w:ind w:left="0"/>
        <w:jc w:val="both"/>
      </w:pPr>
      <w:r>
        <w:rPr>
          <w:rFonts w:ascii="Times New Roman"/>
          <w:b w:val="false"/>
          <w:i w:val="false"/>
          <w:color w:val="000000"/>
          <w:sz w:val="28"/>
        </w:rPr>
        <w:t>
      5) указание на тип клиентского заказа:</w:t>
      </w:r>
    </w:p>
    <w:p>
      <w:pPr>
        <w:spacing w:after="0"/>
        <w:ind w:left="0"/>
        <w:jc w:val="both"/>
      </w:pPr>
      <w:r>
        <w:rPr>
          <w:rFonts w:ascii="Times New Roman"/>
          <w:b w:val="false"/>
          <w:i w:val="false"/>
          <w:color w:val="000000"/>
          <w:sz w:val="28"/>
        </w:rPr>
        <w:t>
      лимитный заказ - на покупку (продажу) финансовых инструментов по оговоренной цене;</w:t>
      </w:r>
    </w:p>
    <w:p>
      <w:pPr>
        <w:spacing w:after="0"/>
        <w:ind w:left="0"/>
        <w:jc w:val="both"/>
      </w:pPr>
      <w:r>
        <w:rPr>
          <w:rFonts w:ascii="Times New Roman"/>
          <w:b w:val="false"/>
          <w:i w:val="false"/>
          <w:color w:val="000000"/>
          <w:sz w:val="28"/>
        </w:rPr>
        <w:t>
      рыночный заказ - на покупку (продажу) финансовых инструментов по рыночной цене;</w:t>
      </w:r>
    </w:p>
    <w:p>
      <w:pPr>
        <w:spacing w:after="0"/>
        <w:ind w:left="0"/>
        <w:jc w:val="both"/>
      </w:pPr>
      <w:r>
        <w:rPr>
          <w:rFonts w:ascii="Times New Roman"/>
          <w:b w:val="false"/>
          <w:i w:val="false"/>
          <w:color w:val="000000"/>
          <w:sz w:val="28"/>
        </w:rPr>
        <w:t>
      буферный заказ - на покупку (продажу) финансовых инструментов по цене, которая сложится в будущем;</w:t>
      </w:r>
    </w:p>
    <w:p>
      <w:pPr>
        <w:spacing w:after="0"/>
        <w:ind w:left="0"/>
        <w:jc w:val="both"/>
      </w:pPr>
      <w:r>
        <w:rPr>
          <w:rFonts w:ascii="Times New Roman"/>
          <w:b w:val="false"/>
          <w:i w:val="false"/>
          <w:color w:val="000000"/>
          <w:sz w:val="28"/>
        </w:rPr>
        <w:t>
      клиентские заказы, предусмотренные внутренними документами брокера и (или) дилера;</w:t>
      </w:r>
    </w:p>
    <w:p>
      <w:pPr>
        <w:spacing w:after="0"/>
        <w:ind w:left="0"/>
        <w:jc w:val="both"/>
      </w:pPr>
      <w:r>
        <w:rPr>
          <w:rFonts w:ascii="Times New Roman"/>
          <w:b w:val="false"/>
          <w:i w:val="false"/>
          <w:color w:val="000000"/>
          <w:sz w:val="28"/>
        </w:rPr>
        <w:t>
      6) срок действия клиентского заказа до конца текущей торговой сессии, если клиентом не будет указан иной срок;</w:t>
      </w:r>
    </w:p>
    <w:p>
      <w:pPr>
        <w:spacing w:after="0"/>
        <w:ind w:left="0"/>
        <w:jc w:val="both"/>
      </w:pPr>
      <w:r>
        <w:rPr>
          <w:rFonts w:ascii="Times New Roman"/>
          <w:b w:val="false"/>
          <w:i w:val="false"/>
          <w:color w:val="000000"/>
          <w:sz w:val="28"/>
        </w:rPr>
        <w:t>
      7) дату и точное время приема клиентского заказа;</w:t>
      </w:r>
    </w:p>
    <w:p>
      <w:pPr>
        <w:spacing w:after="0"/>
        <w:ind w:left="0"/>
        <w:jc w:val="both"/>
      </w:pPr>
      <w:r>
        <w:rPr>
          <w:rFonts w:ascii="Times New Roman"/>
          <w:b w:val="false"/>
          <w:i w:val="false"/>
          <w:color w:val="000000"/>
          <w:sz w:val="28"/>
        </w:rPr>
        <w:t>
      8) фамилия, имя, отчество (при его наличии) работника брокера и (или) дилера, принявшего данный клиентский заказ;</w:t>
      </w:r>
    </w:p>
    <w:p>
      <w:pPr>
        <w:spacing w:after="0"/>
        <w:ind w:left="0"/>
        <w:jc w:val="both"/>
      </w:pPr>
      <w:r>
        <w:rPr>
          <w:rFonts w:ascii="Times New Roman"/>
          <w:b w:val="false"/>
          <w:i w:val="false"/>
          <w:color w:val="000000"/>
          <w:sz w:val="28"/>
        </w:rPr>
        <w:t>
      9) сведения о наличии рекомендации брокера и (или) дилера о совершении сделки с финансовыми инструментами, подлежащей совершению в соответствии с данным клиентским заказом;</w:t>
      </w:r>
    </w:p>
    <w:p>
      <w:pPr>
        <w:spacing w:after="0"/>
        <w:ind w:left="0"/>
        <w:jc w:val="both"/>
      </w:pPr>
      <w:r>
        <w:rPr>
          <w:rFonts w:ascii="Times New Roman"/>
          <w:b w:val="false"/>
          <w:i w:val="false"/>
          <w:color w:val="000000"/>
          <w:sz w:val="28"/>
        </w:rPr>
        <w:t>
      10) реквизиты, установленные внутренними документами брокера и (или) дилера.</w:t>
      </w:r>
    </w:p>
    <w:p>
      <w:pPr>
        <w:spacing w:after="0"/>
        <w:ind w:left="0"/>
        <w:jc w:val="both"/>
      </w:pPr>
      <w:r>
        <w:rPr>
          <w:rFonts w:ascii="Times New Roman"/>
          <w:b w:val="false"/>
          <w:i w:val="false"/>
          <w:color w:val="000000"/>
          <w:sz w:val="28"/>
        </w:rPr>
        <w:t>
      Реквизиты, перечисленные в подпунктах 8) и 9) настоящего пункта, не указываются в случае, если клиент представляет клиентский заказ брокеру и (или) дилеру в рамках оказания брокером и (или) дилером электронных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"45. Брокер и (или) дилер первой категории, не являющийся банком, открывает банковские счета для учета и хранения денег, принадлежащих клиентам, в не аффилиированных с ним банках и (или) центральном депозитарии ценных бумаг, и (или) клиринговых организациях, и (или) расчетных организациях, и (или) иностранных расчетных организациях.";</w:t>
      </w:r>
    </w:p>
    <w:bookmarkStart w:name="z46" w:id="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xml:space="preserve">
      "49. При соответствии значений показателей, характеризующих покрытие рисков брокера и (или) дилера первой категории, не являющегося банком, требованиям, установленным </w:t>
      </w:r>
      <w:r>
        <w:rPr>
          <w:rFonts w:ascii="Times New Roman"/>
          <w:b w:val="false"/>
          <w:i w:val="false"/>
          <w:color w:val="000000"/>
          <w:sz w:val="28"/>
        </w:rPr>
        <w:t>постановлением № 214</w:t>
      </w:r>
      <w:r>
        <w:rPr>
          <w:rFonts w:ascii="Times New Roman"/>
          <w:b w:val="false"/>
          <w:i w:val="false"/>
          <w:color w:val="000000"/>
          <w:sz w:val="28"/>
        </w:rPr>
        <w:t>, брокеру и (или) дилеру разрешается заключение сделок с расчетным периодом до 5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4 (четырех) рабочих дней с даты заключения сделки. Расчеты по указанным сделкам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"49-2. Брокер и (или) дилер, значения показателей, характеризующих покрытие рисков, которого не соответствуют требованиям, установленным </w:t>
      </w:r>
      <w:r>
        <w:rPr>
          <w:rFonts w:ascii="Times New Roman"/>
          <w:b w:val="false"/>
          <w:i w:val="false"/>
          <w:color w:val="000000"/>
          <w:sz w:val="28"/>
        </w:rPr>
        <w:t>постановлением № 214</w:t>
      </w:r>
      <w:r>
        <w:rPr>
          <w:rFonts w:ascii="Times New Roman"/>
          <w:b w:val="false"/>
          <w:i w:val="false"/>
          <w:color w:val="000000"/>
          <w:sz w:val="28"/>
        </w:rPr>
        <w:t>, не заключает сделки с ценными бумагами, расчеты по которым осуществляются после дня их заключения.</w:t>
      </w:r>
    </w:p>
    <w:p>
      <w:pPr>
        <w:spacing w:after="0"/>
        <w:ind w:left="0"/>
        <w:jc w:val="both"/>
      </w:pPr>
      <w:r>
        <w:rPr>
          <w:rFonts w:ascii="Times New Roman"/>
          <w:b w:val="false"/>
          <w:i w:val="false"/>
          <w:color w:val="000000"/>
          <w:sz w:val="28"/>
        </w:rPr>
        <w:t>
      Требования настоящего пункта не распространяются на случаи заключения сделок по покупке ценных бумаг на первичном рынке и (или) методом подписки при условии, что деньги, которые будут использованы для приобретения указанных ценных бумаг, были внесены на банковский счет брокера и (или) дилера в системе учета центрального депозитария в полном объеме, необходимом для приобретения данных ценных бумаг.";</w:t>
      </w:r>
    </w:p>
    <w:bookmarkStart w:name="z48" w:id="2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"4) расчеты по сделкам с данными финансовыми инструментами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"62. Брокер и (или) дилер для включения в реестр сделок с производными финансовыми инструментами, заключенных на организованном и неорганизованном рынках, ведение которого осуществляется центральным депозитарием (далее - реестр), не позднее 14-00 часов времени города Астаны первого рабочего дня недели, следующего за отчетной неделей, представляют в центральный депозитарий информацию в соответствии с требованиями Правил осуществления деятельности центрального депозитария,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254 "Об утверждении Правил осуществления деятельности центрального депозитария", зарегистрированным в Реестре государственной регистрации нормативных правовых актов под № 12957, и внутренних документов центрального депозитария.</w:t>
      </w:r>
    </w:p>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 на организованном и неорганизованном рынках, а также заключенным и исполненным сделкам в отчетном периоде.";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"64. Финансовые инструменты и деньги, принадлежащие брокеру и (или) дилеру первой категории, подлежат отдельному учету от финансовых инструментов и денег его клиентов. В этих целях брокер и (или) дилер первой категории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не аффилиированных с ним банках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w:t>
      </w:r>
    </w:p>
    <w:p>
      <w:pPr>
        <w:spacing w:after="0"/>
        <w:ind w:left="0"/>
        <w:jc w:val="both"/>
      </w:pPr>
      <w:r>
        <w:rPr>
          <w:rFonts w:ascii="Times New Roman"/>
          <w:b w:val="false"/>
          <w:i w:val="false"/>
          <w:color w:val="000000"/>
          <w:sz w:val="28"/>
        </w:rPr>
        <w:t>
      65. Поступающие от клиентов финансовые инструменты и деньги подлежат зачислению брокером и (или) дилером первой категории на счета, предназначенные для учета и хранения финансовых инструментов и денег, принадлежащих клиентам брокера и (или) дилера, в не аффилиированных с ним банках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 в течение 3 (трех) рабочих дней с момента поступления финансовых инструментов и денег.";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исключить.</w:t>
      </w:r>
    </w:p>
    <w:bookmarkStart w:name="z52" w:id="2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(зарегистрированное в Реестре государственной регистрации нормативных правовых актов под № 9248, опубликованное 16 апреля 2014 года в информационно-правовой системе "Әділет") следующие изменения:</w:t>
      </w:r>
    </w:p>
    <w:bookmarkEnd w:id="23"/>
    <w:bookmarkStart w:name="z5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24"/>
    <w:bookmarkStart w:name="z54" w:id="2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"3) в которых управляющий инвестиционным портфелем одновременно представляет интересы своего клиента и интересы третьего лица, не являющегося его клиентом, за исключением сделок, заключенных методом открытых торгов на фондовой бирже;";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"36. Управляющий инвестиционным портфелем для включения в реестр сделок с производными финансовыми инструментами, заключенными самостоятельно без использования услуг брокера на неорганизованном рынке, ведение которого осуществляется центральным депозитарием (далее - реестр), еженедельно не позднее 14-00 часов времени города Астаны первого рабочего дня недели, следующего за отчетным периодом, представляют в центральный депозитарий информацию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19 декабря 2015 года № 254 "Об утверждении Правил осуществления деятельности центрального депозитария", зарегистрированного в Реестре государственной регистрации нормативных правовых актов под № 12957, и внутренними документами центрального депозитария.</w:t>
      </w:r>
    </w:p>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заключенными на организованном и неорганизованном рынках, а также заключенным и исполненным сделкам в отчетном периоде.";</w:t>
      </w:r>
    </w:p>
    <w:bookmarkStart w:name="z56" w:id="2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"2) номинальным держателям, у которых открыты счета клиентов данного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Правления Национального Банка РК от 29.10.2018 </w:t>
      </w:r>
      <w:r>
        <w:rPr>
          <w:rFonts w:ascii="Times New Roman"/>
          <w:b w:val="false"/>
          <w:i w:val="false"/>
          <w:color w:val="000000"/>
          <w:sz w:val="28"/>
        </w:rPr>
        <w:t>№ 249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8" w:id="2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в системе учета номинального держания ценных бумаг,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 (зарегистрированное в Реестре государственной регистрации нормативных правовых актов под № 9876, опубликованное 28 ноября 2014 года в информационно-правовой системе "Әділет") следующие изменение и дополнения:</w:t>
      </w:r>
    </w:p>
    <w:bookmarkEnd w:id="27"/>
    <w:bookmarkStart w:name="z79"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в системе учета номинального держания ценных бумаг,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 утвержденных указанным постановлением:</w:t>
      </w:r>
    </w:p>
    <w:bookmarkEnd w:id="28"/>
    <w:bookmarkStart w:name="z80" w:id="29"/>
    <w:p>
      <w:pPr>
        <w:spacing w:after="0"/>
        <w:ind w:left="0"/>
        <w:jc w:val="both"/>
      </w:pPr>
      <w:r>
        <w:rPr>
          <w:rFonts w:ascii="Times New Roman"/>
          <w:b w:val="false"/>
          <w:i w:val="false"/>
          <w:color w:val="000000"/>
          <w:sz w:val="28"/>
        </w:rPr>
        <w:t>
      дополнить пунктом 11-1 следующего содержания:</w:t>
      </w:r>
    </w:p>
    <w:bookmarkEnd w:id="29"/>
    <w:p>
      <w:pPr>
        <w:spacing w:after="0"/>
        <w:ind w:left="0"/>
        <w:jc w:val="both"/>
      </w:pPr>
      <w:r>
        <w:rPr>
          <w:rFonts w:ascii="Times New Roman"/>
          <w:b w:val="false"/>
          <w:i w:val="false"/>
          <w:color w:val="000000"/>
          <w:sz w:val="28"/>
        </w:rPr>
        <w:t>
      "11-1. Операции по открытию лицевого счета держателям ценных бумаг при реорганизации финансовых организаций, обладающих лицензией уполномоченного органа на осуществление кастодиальной деятельности и (или) брокерской и (или) дилерской деятельности, осуществляются номинальным держателем на основании отчета о зарегистрированных операциях, полученного из системы учета центрального депозитария.";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Номинальный держатель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неисполнения приказа в следующих случаях:</w:t>
      </w:r>
    </w:p>
    <w:p>
      <w:pPr>
        <w:spacing w:after="0"/>
        <w:ind w:left="0"/>
        <w:jc w:val="both"/>
      </w:pPr>
      <w:r>
        <w:rPr>
          <w:rFonts w:ascii="Times New Roman"/>
          <w:b w:val="false"/>
          <w:i w:val="false"/>
          <w:color w:val="000000"/>
          <w:sz w:val="28"/>
        </w:rPr>
        <w:t>
      1) несоответствия подписей на приказах образцам, засвидетельствованным нотариально;</w:t>
      </w:r>
    </w:p>
    <w:p>
      <w:pPr>
        <w:spacing w:after="0"/>
        <w:ind w:left="0"/>
        <w:jc w:val="both"/>
      </w:pPr>
      <w:r>
        <w:rPr>
          <w:rFonts w:ascii="Times New Roman"/>
          <w:b w:val="false"/>
          <w:i w:val="false"/>
          <w:color w:val="000000"/>
          <w:sz w:val="28"/>
        </w:rPr>
        <w:t>
      2) непредставления встречного приказа в течение 2 (двух) календарных дней с даты получения приказа на совершение операции;</w:t>
      </w:r>
    </w:p>
    <w:p>
      <w:pPr>
        <w:spacing w:after="0"/>
        <w:ind w:left="0"/>
        <w:jc w:val="both"/>
      </w:pPr>
      <w:r>
        <w:rPr>
          <w:rFonts w:ascii="Times New Roman"/>
          <w:b w:val="false"/>
          <w:i w:val="false"/>
          <w:color w:val="000000"/>
          <w:sz w:val="28"/>
        </w:rPr>
        <w:t>
      3) несоответствия реквизитов приказов реквизитам, установленным Правилами, или реквизитам лицевого счета (субсчета);</w:t>
      </w:r>
    </w:p>
    <w:p>
      <w:pPr>
        <w:spacing w:after="0"/>
        <w:ind w:left="0"/>
        <w:jc w:val="both"/>
      </w:pPr>
      <w:r>
        <w:rPr>
          <w:rFonts w:ascii="Times New Roman"/>
          <w:b w:val="false"/>
          <w:i w:val="false"/>
          <w:color w:val="000000"/>
          <w:sz w:val="28"/>
        </w:rPr>
        <w:t>
      4) отсутствия необходимого количества ценных бумаг (прав требования по обязательствам эмитента по эмиссионным ценным бумагам) и (или) денег на счетах (субсчетах) клиентов;</w:t>
      </w:r>
    </w:p>
    <w:p>
      <w:pPr>
        <w:spacing w:after="0"/>
        <w:ind w:left="0"/>
        <w:jc w:val="both"/>
      </w:pPr>
      <w:r>
        <w:rPr>
          <w:rFonts w:ascii="Times New Roman"/>
          <w:b w:val="false"/>
          <w:i w:val="false"/>
          <w:color w:val="000000"/>
          <w:sz w:val="28"/>
        </w:rPr>
        <w:t>
      5) несоответствия содержания сделки законодательству Республики Казахстан;</w:t>
      </w:r>
    </w:p>
    <w:p>
      <w:pPr>
        <w:spacing w:after="0"/>
        <w:ind w:left="0"/>
        <w:jc w:val="both"/>
      </w:pPr>
      <w:r>
        <w:rPr>
          <w:rFonts w:ascii="Times New Roman"/>
          <w:b w:val="false"/>
          <w:i w:val="false"/>
          <w:color w:val="000000"/>
          <w:sz w:val="28"/>
        </w:rPr>
        <w:t>
      6) непредставления клиентом в срок, установленный для регистрации сделки, документа, подтверждающего согласие уполномоченного органа на приобретение статуса крупного участника,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7) наличия решения соответствующих государственных органов либо суда о приостановлении или прекращении обращения ценных бумаг;</w:t>
      </w:r>
    </w:p>
    <w:p>
      <w:pPr>
        <w:spacing w:after="0"/>
        <w:ind w:left="0"/>
        <w:jc w:val="both"/>
      </w:pPr>
      <w:r>
        <w:rPr>
          <w:rFonts w:ascii="Times New Roman"/>
          <w:b w:val="false"/>
          <w:i w:val="false"/>
          <w:color w:val="000000"/>
          <w:sz w:val="28"/>
        </w:rPr>
        <w:t xml:space="preserve">
      8) ценные бумаги и (или) лицевой счет или субсчет, указанные в приказе, заблокированы, за исключением, случаев, указанных в </w:t>
      </w:r>
      <w:r>
        <w:rPr>
          <w:rFonts w:ascii="Times New Roman"/>
          <w:b w:val="false"/>
          <w:i w:val="false"/>
          <w:color w:val="000000"/>
          <w:sz w:val="28"/>
        </w:rPr>
        <w:t>пункте 6-1</w:t>
      </w:r>
      <w:r>
        <w:rPr>
          <w:rFonts w:ascii="Times New Roman"/>
          <w:b w:val="false"/>
          <w:i w:val="false"/>
          <w:color w:val="000000"/>
          <w:sz w:val="28"/>
        </w:rPr>
        <w:t xml:space="preserve"> статьи 65 Закона Республики Казахстан от 2 апреля 2010 года "Об исполнительном производстве и статусе судебных исполнителей" (далее – Закон об исполнительном производстве);</w:t>
      </w:r>
    </w:p>
    <w:p>
      <w:pPr>
        <w:spacing w:after="0"/>
        <w:ind w:left="0"/>
        <w:jc w:val="both"/>
      </w:pPr>
      <w:r>
        <w:rPr>
          <w:rFonts w:ascii="Times New Roman"/>
          <w:b w:val="false"/>
          <w:i w:val="false"/>
          <w:color w:val="000000"/>
          <w:sz w:val="28"/>
        </w:rPr>
        <w:t xml:space="preserve">
      9) обременения ценных бумаг (прав требования по обязательствам эмитента по эмиссионным ценным бумагам), указанных в приказе, за исключением проведения операций по списанию (зачислению) ценных бумаг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w:t>
      </w:r>
    </w:p>
    <w:p>
      <w:pPr>
        <w:spacing w:after="0"/>
        <w:ind w:left="0"/>
        <w:jc w:val="both"/>
      </w:pPr>
      <w:r>
        <w:rPr>
          <w:rFonts w:ascii="Times New Roman"/>
          <w:b w:val="false"/>
          <w:i w:val="false"/>
          <w:color w:val="000000"/>
          <w:sz w:val="28"/>
        </w:rPr>
        <w:t>
      10) истечения срока действия документа, удостоверяющего личность клиента, на момент принятия приказа и (или) в период действия данного приказа;</w:t>
      </w:r>
    </w:p>
    <w:p>
      <w:pPr>
        <w:spacing w:after="0"/>
        <w:ind w:left="0"/>
        <w:jc w:val="both"/>
      </w:pPr>
      <w:r>
        <w:rPr>
          <w:rFonts w:ascii="Times New Roman"/>
          <w:b w:val="false"/>
          <w:i w:val="false"/>
          <w:color w:val="000000"/>
          <w:sz w:val="28"/>
        </w:rPr>
        <w:t>
      11) случаях, предусмотренных внутренним документом номинального держателя.";</w:t>
      </w:r>
    </w:p>
    <w:bookmarkStart w:name="z82" w:id="30"/>
    <w:p>
      <w:pPr>
        <w:spacing w:after="0"/>
        <w:ind w:left="0"/>
        <w:jc w:val="both"/>
      </w:pPr>
      <w:r>
        <w:rPr>
          <w:rFonts w:ascii="Times New Roman"/>
          <w:b w:val="false"/>
          <w:i w:val="false"/>
          <w:color w:val="000000"/>
          <w:sz w:val="28"/>
        </w:rPr>
        <w:t>
      дополнить пунктами 33-1 и 33-2 следующего содержания:</w:t>
      </w:r>
    </w:p>
    <w:bookmarkEnd w:id="30"/>
    <w:p>
      <w:pPr>
        <w:spacing w:after="0"/>
        <w:ind w:left="0"/>
        <w:jc w:val="both"/>
      </w:pPr>
      <w:r>
        <w:rPr>
          <w:rFonts w:ascii="Times New Roman"/>
          <w:b w:val="false"/>
          <w:i w:val="false"/>
          <w:color w:val="000000"/>
          <w:sz w:val="28"/>
        </w:rPr>
        <w:t xml:space="preserve">
      "33-1. В случае реорганизации номинального держателя (номинальных держателей) в форме разделения или слияния юридическое лицо, возникшее в результате такой реорганизации и переоформившее лицензию реорганизованного номинального держателя (реорганизованных номинальных держателей) в порядке, установленном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Закона Республики Казахстан от 16 мая 2014 года "О разрешениях и уведомлениях", осуществляет подачу приказа центральному депозитарию на совершение операций, указанных в пункте 39-1 Правил осуществления деятельности центрального депозитария,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254 "Об утверждении Правил осуществления деятельности центрального депозитария", зарегистрированным в Реестре государственной регистрации нормативных правовых актов под № 12957 (далее - Правила № 254), в течение 30 (тридцати) календарных дней со дня получения от уполномоченного органа переоформленной лицензии.</w:t>
      </w:r>
    </w:p>
    <w:p>
      <w:pPr>
        <w:spacing w:after="0"/>
        <w:ind w:left="0"/>
        <w:jc w:val="both"/>
      </w:pPr>
      <w:r>
        <w:rPr>
          <w:rFonts w:ascii="Times New Roman"/>
          <w:b w:val="false"/>
          <w:i w:val="false"/>
          <w:color w:val="000000"/>
          <w:sz w:val="28"/>
        </w:rPr>
        <w:t xml:space="preserve">
      33-2. В случае реорганизации номинальных держателей в форме присоединения номинальный держатель, к которому произведено присоединение, осуществляет подачу приказа центральному депозитарию на совершение операций, указанных в подпункте 2) пункта 39-1 </w:t>
      </w:r>
      <w:r>
        <w:rPr>
          <w:rFonts w:ascii="Times New Roman"/>
          <w:b w:val="false"/>
          <w:i w:val="false"/>
          <w:color w:val="000000"/>
          <w:sz w:val="28"/>
        </w:rPr>
        <w:t>Правил</w:t>
      </w:r>
      <w:r>
        <w:rPr>
          <w:rFonts w:ascii="Times New Roman"/>
          <w:b w:val="false"/>
          <w:i w:val="false"/>
          <w:color w:val="000000"/>
          <w:sz w:val="28"/>
        </w:rPr>
        <w:t xml:space="preserve"> № 254, в течение 30 (тридцати) календарных дней со дня внесения в Национальный реестр бизнес-идентификационных номеров сведений о прекращении деятельности присоединенного номинального держателя.".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Национального Банка РК от 29.11.2018 </w:t>
      </w:r>
      <w:r>
        <w:rPr>
          <w:rFonts w:ascii="Times New Roman"/>
          <w:b w:val="false"/>
          <w:i w:val="false"/>
          <w:color w:val="000000"/>
          <w:sz w:val="28"/>
        </w:rPr>
        <w:t>№ 307</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60</w:t>
            </w:r>
          </w:p>
        </w:tc>
      </w:tr>
    </w:tbl>
    <w:bookmarkStart w:name="z89" w:id="31"/>
    <w:p>
      <w:pPr>
        <w:spacing w:after="0"/>
        <w:ind w:left="0"/>
        <w:jc w:val="left"/>
      </w:pPr>
      <w:r>
        <w:rPr>
          <w:rFonts w:ascii="Times New Roman"/>
          <w:b/>
          <w:i w:val="false"/>
          <w:color w:val="000000"/>
        </w:rPr>
        <w:t xml:space="preserve"> Перечень финансовых инструментов, которые могут входить в</w:t>
      </w:r>
      <w:r>
        <w:br/>
      </w:r>
      <w:r>
        <w:rPr>
          <w:rFonts w:ascii="Times New Roman"/>
          <w:b/>
          <w:i w:val="false"/>
          <w:color w:val="000000"/>
        </w:rPr>
        <w:t>состав активов акционерных и паевых инвестиционных фондов</w:t>
      </w:r>
      <w:r>
        <w:br/>
      </w:r>
      <w:r>
        <w:rPr>
          <w:rFonts w:ascii="Times New Roman"/>
          <w:b/>
          <w:i w:val="false"/>
          <w:color w:val="000000"/>
        </w:rPr>
        <w:t xml:space="preserve"> 1. Перечень финансовых инструментов, в которые управляющая</w:t>
      </w:r>
      <w:r>
        <w:br/>
      </w:r>
      <w:r>
        <w:rPr>
          <w:rFonts w:ascii="Times New Roman"/>
          <w:b/>
          <w:i w:val="false"/>
          <w:color w:val="000000"/>
        </w:rPr>
        <w:t>компания инвестирует находящиеся в инвестиционном управлении</w:t>
      </w:r>
      <w:r>
        <w:br/>
      </w:r>
      <w:r>
        <w:rPr>
          <w:rFonts w:ascii="Times New Roman"/>
          <w:b/>
          <w:i w:val="false"/>
          <w:color w:val="000000"/>
        </w:rPr>
        <w:t>активы каждого отдельного открытого либо интервального паевого</w:t>
      </w:r>
      <w:r>
        <w:br/>
      </w:r>
      <w:r>
        <w:rPr>
          <w:rFonts w:ascii="Times New Roman"/>
          <w:b/>
          <w:i w:val="false"/>
          <w:color w:val="000000"/>
        </w:rPr>
        <w:t>инвестиционного фонда, и требования, предъявляемые к ним:</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его дочерними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
банки имеют долгосрочный кредитный рейтинг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или иностранных государств:</w:t>
            </w:r>
          </w:p>
          <w:p>
            <w:pPr>
              <w:spacing w:after="20"/>
              <w:ind w:left="20"/>
              <w:jc w:val="both"/>
            </w:pPr>
            <w:r>
              <w:rPr>
                <w:rFonts w:ascii="Times New Roman"/>
                <w:b w:val="false"/>
                <w:i w:val="false"/>
                <w:color w:val="000000"/>
                <w:sz w:val="20"/>
              </w:rPr>
              <w:t xml:space="preserve">
акции эмитентов, имеющих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и (или) акции, включенные в официальный список фондовой биржи, соответствующие требованиям сектора "акции",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постановление № 189);</w:t>
            </w:r>
          </w:p>
          <w:p>
            <w:pPr>
              <w:spacing w:after="20"/>
              <w:ind w:left="20"/>
              <w:jc w:val="both"/>
            </w:pPr>
            <w:r>
              <w:rPr>
                <w:rFonts w:ascii="Times New Roman"/>
                <w:b w:val="false"/>
                <w:i w:val="false"/>
                <w:color w:val="000000"/>
                <w:sz w:val="20"/>
              </w:rPr>
              <w:t xml:space="preserve">
долговые ценные бумаги,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или долговые ценные бумаги, включенные в официальный список фондовой биржи, соответствующие требованиям категории "иные долговые ценные бумаги", предусмотренным </w:t>
            </w:r>
            <w:r>
              <w:rPr>
                <w:rFonts w:ascii="Times New Roman"/>
                <w:b w:val="false"/>
                <w:i w:val="false"/>
                <w:color w:val="000000"/>
                <w:sz w:val="20"/>
              </w:rPr>
              <w:t>постановлением 189</w:t>
            </w:r>
            <w:r>
              <w:rPr>
                <w:rFonts w:ascii="Times New Roman"/>
                <w:b w:val="false"/>
                <w:i w:val="false"/>
                <w:color w:val="000000"/>
                <w:sz w:val="20"/>
              </w:rPr>
              <w:t>;</w:t>
            </w:r>
          </w:p>
          <w:p>
            <w:pPr>
              <w:spacing w:after="20"/>
              <w:ind w:left="20"/>
              <w:jc w:val="both"/>
            </w:pPr>
            <w:r>
              <w:rPr>
                <w:rFonts w:ascii="Times New Roman"/>
                <w:b w:val="false"/>
                <w:i w:val="false"/>
                <w:color w:val="000000"/>
                <w:sz w:val="20"/>
              </w:rPr>
              <w:t>
инфраструктурные облигации организаций Республики Казахстан, включенные в официальный список фондовой биржи;</w:t>
            </w:r>
          </w:p>
          <w:p>
            <w:pPr>
              <w:spacing w:after="20"/>
              <w:ind w:left="20"/>
              <w:jc w:val="both"/>
            </w:pPr>
            <w:r>
              <w:rPr>
                <w:rFonts w:ascii="Times New Roman"/>
                <w:b w:val="false"/>
                <w:i w:val="false"/>
                <w:color w:val="000000"/>
                <w:sz w:val="20"/>
              </w:rPr>
              <w:t>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(за исключением паевых инвестиционных фондов, управляющей компанией которых является управляющая компания паевого инвестиционного фонда, за счет активов которого приобретаются данные паи), включенные в официальный список фондовой биржи; 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 имеющих международную рейтинговую оценку Standard &amp; Poor's principal stability fund ratings не ниже "BBm-" либо Standard &amp; Poor’s Fund credit quality ratings не ниже "BBf-"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строках 5, 12, 13 таблицы пункта 1 настоящего Перечня, либо базовым активом которых являются ценные бумаги эмитентов, имеющих рейтинговую оценку в иностранной валюте по международной шкале кредитного рейтинга не ниже "В-"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следующими международными финансовыми организациями:</w:t>
            </w:r>
          </w:p>
          <w:p>
            <w:pPr>
              <w:spacing w:after="20"/>
              <w:ind w:left="20"/>
              <w:jc w:val="both"/>
            </w:pPr>
            <w:r>
              <w:rPr>
                <w:rFonts w:ascii="Times New Roman"/>
                <w:b w:val="false"/>
                <w:i w:val="false"/>
                <w:color w:val="000000"/>
                <w:sz w:val="20"/>
              </w:rPr>
              <w:t>
Азиатским банком развития;</w:t>
            </w:r>
          </w:p>
          <w:p>
            <w:pPr>
              <w:spacing w:after="20"/>
              <w:ind w:left="20"/>
              <w:jc w:val="both"/>
            </w:pPr>
            <w:r>
              <w:rPr>
                <w:rFonts w:ascii="Times New Roman"/>
                <w:b w:val="false"/>
                <w:i w:val="false"/>
                <w:color w:val="000000"/>
                <w:sz w:val="20"/>
              </w:rPr>
              <w:t>
Африканским банком развития;</w:t>
            </w:r>
          </w:p>
          <w:p>
            <w:pPr>
              <w:spacing w:after="20"/>
              <w:ind w:left="20"/>
              <w:jc w:val="both"/>
            </w:pPr>
            <w:r>
              <w:rPr>
                <w:rFonts w:ascii="Times New Roman"/>
                <w:b w:val="false"/>
                <w:i w:val="false"/>
                <w:color w:val="000000"/>
                <w:sz w:val="20"/>
              </w:rPr>
              <w:t>
Банком международных расчетов;</w:t>
            </w:r>
          </w:p>
          <w:p>
            <w:pPr>
              <w:spacing w:after="20"/>
              <w:ind w:left="20"/>
              <w:jc w:val="both"/>
            </w:pPr>
            <w:r>
              <w:rPr>
                <w:rFonts w:ascii="Times New Roman"/>
                <w:b w:val="false"/>
                <w:i w:val="false"/>
                <w:color w:val="000000"/>
                <w:sz w:val="20"/>
              </w:rPr>
              <w:t>
Евразийским банком развития;</w:t>
            </w:r>
          </w:p>
          <w:p>
            <w:pPr>
              <w:spacing w:after="20"/>
              <w:ind w:left="20"/>
              <w:jc w:val="both"/>
            </w:pPr>
            <w:r>
              <w:rPr>
                <w:rFonts w:ascii="Times New Roman"/>
                <w:b w:val="false"/>
                <w:i w:val="false"/>
                <w:color w:val="000000"/>
                <w:sz w:val="20"/>
              </w:rPr>
              <w:t>
Европейским инвестиционным банком;</w:t>
            </w:r>
          </w:p>
          <w:p>
            <w:pPr>
              <w:spacing w:after="20"/>
              <w:ind w:left="20"/>
              <w:jc w:val="both"/>
            </w:pPr>
            <w:r>
              <w:rPr>
                <w:rFonts w:ascii="Times New Roman"/>
                <w:b w:val="false"/>
                <w:i w:val="false"/>
                <w:color w:val="000000"/>
                <w:sz w:val="20"/>
              </w:rPr>
              <w:t>
Европейским банком реконструкции и развития;</w:t>
            </w:r>
          </w:p>
          <w:p>
            <w:pPr>
              <w:spacing w:after="20"/>
              <w:ind w:left="20"/>
              <w:jc w:val="both"/>
            </w:pPr>
            <w:r>
              <w:rPr>
                <w:rFonts w:ascii="Times New Roman"/>
                <w:b w:val="false"/>
                <w:i w:val="false"/>
                <w:color w:val="000000"/>
                <w:sz w:val="20"/>
              </w:rPr>
              <w:t>
Исламским банком развития;</w:t>
            </w:r>
          </w:p>
          <w:p>
            <w:pPr>
              <w:spacing w:after="20"/>
              <w:ind w:left="20"/>
              <w:jc w:val="both"/>
            </w:pPr>
            <w:r>
              <w:rPr>
                <w:rFonts w:ascii="Times New Roman"/>
                <w:b w:val="false"/>
                <w:i w:val="false"/>
                <w:color w:val="000000"/>
                <w:sz w:val="20"/>
              </w:rPr>
              <w:t>
Межамериканским банком развития;</w:t>
            </w:r>
          </w:p>
          <w:p>
            <w:pPr>
              <w:spacing w:after="20"/>
              <w:ind w:left="20"/>
              <w:jc w:val="both"/>
            </w:pPr>
            <w:r>
              <w:rPr>
                <w:rFonts w:ascii="Times New Roman"/>
                <w:b w:val="false"/>
                <w:i w:val="false"/>
                <w:color w:val="000000"/>
                <w:sz w:val="20"/>
              </w:rPr>
              <w:t>
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p>
            <w:pPr>
              <w:spacing w:after="20"/>
              <w:ind w:left="20"/>
              <w:jc w:val="both"/>
            </w:pPr>
            <w:r>
              <w:rPr>
                <w:rFonts w:ascii="Times New Roman"/>
                <w:b w:val="false"/>
                <w:i w:val="false"/>
                <w:color w:val="000000"/>
                <w:sz w:val="20"/>
              </w:rPr>
              <w:t>
долговые ценные бумаги,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 (или) долговые ценные бумаги,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 акции, выпущенные иностранными организациями, имеющими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 (или) акции,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ценные бумаги, выпущенные иностранными организациями, признаваемыми резидентами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22-1 Закона Республики Казахстан от 2 июля 2003 года "О рынке ценных бумаг", включенные в официальный список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protected notes, выпущенные организациями, имеющими рейтинговую оценку не ниже "А-" по международной шкале агентства Standard &amp; Poor’s или рейтинговую оценку аналогичного уровня одного из других рейтинговых агентств, которые соответствуют следующим условиям:</w:t>
            </w:r>
          </w:p>
          <w:p>
            <w:pPr>
              <w:spacing w:after="20"/>
              <w:ind w:left="20"/>
              <w:jc w:val="both"/>
            </w:pPr>
            <w:r>
              <w:rPr>
                <w:rFonts w:ascii="Times New Roman"/>
                <w:b w:val="false"/>
                <w:i w:val="false"/>
                <w:color w:val="000000"/>
                <w:sz w:val="20"/>
              </w:rPr>
              <w:t>
срок обращения не превышает пяти лет;</w:t>
            </w:r>
          </w:p>
          <w:p>
            <w:pPr>
              <w:spacing w:after="20"/>
              <w:ind w:left="20"/>
              <w:jc w:val="both"/>
            </w:pPr>
            <w:r>
              <w:rPr>
                <w:rFonts w:ascii="Times New Roman"/>
                <w:b w:val="false"/>
                <w:i w:val="false"/>
                <w:color w:val="000000"/>
                <w:sz w:val="20"/>
              </w:rPr>
              <w:t>
условиями выпуска principal protected notes не предусмотрены случаи дефолта какого-либо государства, эмитента по своим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(фьючерсы, опционы, свопы, форварды), заключенные в целях хеджирования, базовым активом которых являются финансовые инструменты, которые входят в состав активов открытого и интервального паевых инвестиционных фондов, иностранная валюта, а также следующие расчетные показатели (индексы):</w:t>
            </w:r>
          </w:p>
          <w:p>
            <w:pPr>
              <w:spacing w:after="20"/>
              <w:ind w:left="20"/>
              <w:jc w:val="both"/>
            </w:pPr>
            <w:r>
              <w:rPr>
                <w:rFonts w:ascii="Times New Roman"/>
                <w:b w:val="false"/>
                <w:i w:val="false"/>
                <w:color w:val="000000"/>
                <w:sz w:val="20"/>
              </w:rPr>
              <w:t>
САС 40 (Compagnie des Agents de Change 40 Index)</w:t>
            </w:r>
          </w:p>
          <w:p>
            <w:pPr>
              <w:spacing w:after="20"/>
              <w:ind w:left="20"/>
              <w:jc w:val="both"/>
            </w:pPr>
            <w:r>
              <w:rPr>
                <w:rFonts w:ascii="Times New Roman"/>
                <w:b w:val="false"/>
                <w:i w:val="false"/>
                <w:color w:val="000000"/>
                <w:sz w:val="20"/>
              </w:rPr>
              <w:t>
DAX (Deutscher Aktienindex)</w:t>
            </w:r>
          </w:p>
          <w:p>
            <w:pPr>
              <w:spacing w:after="20"/>
              <w:ind w:left="20"/>
              <w:jc w:val="both"/>
            </w:pPr>
            <w:r>
              <w:rPr>
                <w:rFonts w:ascii="Times New Roman"/>
                <w:b w:val="false"/>
                <w:i w:val="false"/>
                <w:color w:val="000000"/>
                <w:sz w:val="20"/>
              </w:rPr>
              <w:t>
DJIA (Dow Jones Industrial Average)</w:t>
            </w:r>
          </w:p>
          <w:p>
            <w:pPr>
              <w:spacing w:after="20"/>
              <w:ind w:left="20"/>
              <w:jc w:val="both"/>
            </w:pPr>
            <w:r>
              <w:rPr>
                <w:rFonts w:ascii="Times New Roman"/>
                <w:b w:val="false"/>
                <w:i w:val="false"/>
                <w:color w:val="000000"/>
                <w:sz w:val="20"/>
              </w:rPr>
              <w:t>
ENXT 100 (Euronext 100)</w:t>
            </w:r>
          </w:p>
          <w:p>
            <w:pPr>
              <w:spacing w:after="20"/>
              <w:ind w:left="20"/>
              <w:jc w:val="both"/>
            </w:pPr>
            <w:r>
              <w:rPr>
                <w:rFonts w:ascii="Times New Roman"/>
                <w:b w:val="false"/>
                <w:i w:val="false"/>
                <w:color w:val="000000"/>
                <w:sz w:val="20"/>
              </w:rPr>
              <w:t>
FTSE 100 (Financial Times Stock Exchange 100 Index)</w:t>
            </w:r>
          </w:p>
          <w:p>
            <w:pPr>
              <w:spacing w:after="20"/>
              <w:ind w:left="20"/>
              <w:jc w:val="both"/>
            </w:pPr>
            <w:r>
              <w:rPr>
                <w:rFonts w:ascii="Times New Roman"/>
                <w:b w:val="false"/>
                <w:i w:val="false"/>
                <w:color w:val="000000"/>
                <w:sz w:val="20"/>
              </w:rPr>
              <w:t>
KASE (Kazakhstan Stock Exchange)</w:t>
            </w:r>
          </w:p>
          <w:p>
            <w:pPr>
              <w:spacing w:after="20"/>
              <w:ind w:left="20"/>
              <w:jc w:val="both"/>
            </w:pPr>
            <w:r>
              <w:rPr>
                <w:rFonts w:ascii="Times New Roman"/>
                <w:b w:val="false"/>
                <w:i w:val="false"/>
                <w:color w:val="000000"/>
                <w:sz w:val="20"/>
              </w:rPr>
              <w:t>
MICEX (Moscow Interbank Currency Exchange Index)</w:t>
            </w:r>
          </w:p>
          <w:p>
            <w:pPr>
              <w:spacing w:after="20"/>
              <w:ind w:left="20"/>
              <w:jc w:val="both"/>
            </w:pPr>
            <w:r>
              <w:rPr>
                <w:rFonts w:ascii="Times New Roman"/>
                <w:b w:val="false"/>
                <w:i w:val="false"/>
                <w:color w:val="000000"/>
                <w:sz w:val="20"/>
              </w:rPr>
              <w:t>
MSCI World Index (Morgan Stanley Capital International World Index)</w:t>
            </w:r>
          </w:p>
          <w:p>
            <w:pPr>
              <w:spacing w:after="20"/>
              <w:ind w:left="20"/>
              <w:jc w:val="both"/>
            </w:pPr>
            <w:r>
              <w:rPr>
                <w:rFonts w:ascii="Times New Roman"/>
                <w:b w:val="false"/>
                <w:i w:val="false"/>
                <w:color w:val="000000"/>
                <w:sz w:val="20"/>
              </w:rPr>
              <w:t>
NIKKEI - 225 (NIKKEI - 225 Index)</w:t>
            </w:r>
          </w:p>
          <w:p>
            <w:pPr>
              <w:spacing w:after="20"/>
              <w:ind w:left="20"/>
              <w:jc w:val="both"/>
            </w:pPr>
            <w:r>
              <w:rPr>
                <w:rFonts w:ascii="Times New Roman"/>
                <w:b w:val="false"/>
                <w:i w:val="false"/>
                <w:color w:val="000000"/>
                <w:sz w:val="20"/>
              </w:rPr>
              <w:t>
RTSI (Russian Trade System Index)</w:t>
            </w:r>
          </w:p>
          <w:p>
            <w:pPr>
              <w:spacing w:after="20"/>
              <w:ind w:left="20"/>
              <w:jc w:val="both"/>
            </w:pPr>
            <w:r>
              <w:rPr>
                <w:rFonts w:ascii="Times New Roman"/>
                <w:b w:val="false"/>
                <w:i w:val="false"/>
                <w:color w:val="000000"/>
                <w:sz w:val="20"/>
              </w:rPr>
              <w:t>
S&amp;P 500 (Standard and Poor's 500 Index)</w:t>
            </w:r>
          </w:p>
          <w:p>
            <w:pPr>
              <w:spacing w:after="20"/>
              <w:ind w:left="20"/>
              <w:jc w:val="both"/>
            </w:pPr>
            <w:r>
              <w:rPr>
                <w:rFonts w:ascii="Times New Roman"/>
                <w:b w:val="false"/>
                <w:i w:val="false"/>
                <w:color w:val="000000"/>
                <w:sz w:val="20"/>
              </w:rPr>
              <w:t>
TOPIX (Tokyo Price Index)</w:t>
            </w:r>
          </w:p>
          <w:p>
            <w:pPr>
              <w:spacing w:after="20"/>
              <w:ind w:left="20"/>
              <w:jc w:val="both"/>
            </w:pPr>
            <w:r>
              <w:rPr>
                <w:rFonts w:ascii="Times New Roman"/>
                <w:b w:val="false"/>
                <w:i w:val="false"/>
                <w:color w:val="000000"/>
                <w:sz w:val="20"/>
              </w:rPr>
              <w:t>
HSI (Hang Seng Index)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товариществе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 торгующиеся на фондовых биржах, функционирующих на территории иностранных государств, имеющих суверенную рейтинговую оценку не ниже "ВВ" по международной шкале агентства Standard &amp; Poor’s или суверенную рейтинговую оценку аналогичного уровня одного из других рейтинговых агентств</w:t>
            </w:r>
          </w:p>
        </w:tc>
      </w:tr>
    </w:tbl>
    <w:bookmarkStart w:name="z91" w:id="32"/>
    <w:p>
      <w:pPr>
        <w:spacing w:after="0"/>
        <w:ind w:left="0"/>
        <w:jc w:val="left"/>
      </w:pPr>
      <w:r>
        <w:rPr>
          <w:rFonts w:ascii="Times New Roman"/>
          <w:b/>
          <w:i w:val="false"/>
          <w:color w:val="000000"/>
        </w:rPr>
        <w:t xml:space="preserve">  2. Перечень финансовых инструментов, в которые управляющая</w:t>
      </w:r>
      <w:r>
        <w:br/>
      </w:r>
      <w:r>
        <w:rPr>
          <w:rFonts w:ascii="Times New Roman"/>
          <w:b/>
          <w:i w:val="false"/>
          <w:color w:val="000000"/>
        </w:rPr>
        <w:t>компания инвестирует находящиеся в инвестиционном управлении</w:t>
      </w:r>
      <w:r>
        <w:br/>
      </w:r>
      <w:r>
        <w:rPr>
          <w:rFonts w:ascii="Times New Roman"/>
          <w:b/>
          <w:i w:val="false"/>
          <w:color w:val="000000"/>
        </w:rPr>
        <w:t>активы каждого отдельного фонда недвижимости, и требования,</w:t>
      </w:r>
      <w:r>
        <w:br/>
      </w:r>
      <w:r>
        <w:rPr>
          <w:rFonts w:ascii="Times New Roman"/>
          <w:b/>
          <w:i w:val="false"/>
          <w:color w:val="000000"/>
        </w:rPr>
        <w:t>предъявляемые к ним:</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
банки имеют долгосрочный кредитный рейтинг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при условии их нахождения на дату заключения сделки в представительском списке индекса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Республики Казахстан в соответствии с законодательством Республики Казахстан или иностранных государств,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иностранными организациями, имеющие рейтинговую оценку не ниже "АА-"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"АА-"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следующими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p>
            <w:pPr>
              <w:spacing w:after="20"/>
              <w:ind w:left="20"/>
              <w:jc w:val="both"/>
            </w:pPr>
            <w:r>
              <w:rPr>
                <w:rFonts w:ascii="Times New Roman"/>
                <w:b w:val="false"/>
                <w:i w:val="false"/>
                <w:color w:val="000000"/>
                <w:sz w:val="20"/>
              </w:rPr>
              <w:t>
Азиатским банком развития;</w:t>
            </w:r>
          </w:p>
          <w:p>
            <w:pPr>
              <w:spacing w:after="20"/>
              <w:ind w:left="20"/>
              <w:jc w:val="both"/>
            </w:pPr>
            <w:r>
              <w:rPr>
                <w:rFonts w:ascii="Times New Roman"/>
                <w:b w:val="false"/>
                <w:i w:val="false"/>
                <w:color w:val="000000"/>
                <w:sz w:val="20"/>
              </w:rPr>
              <w:t>
Африканским банком развития;</w:t>
            </w:r>
          </w:p>
          <w:p>
            <w:pPr>
              <w:spacing w:after="20"/>
              <w:ind w:left="20"/>
              <w:jc w:val="both"/>
            </w:pPr>
            <w:r>
              <w:rPr>
                <w:rFonts w:ascii="Times New Roman"/>
                <w:b w:val="false"/>
                <w:i w:val="false"/>
                <w:color w:val="000000"/>
                <w:sz w:val="20"/>
              </w:rPr>
              <w:t>
Банком международных расчетов;</w:t>
            </w:r>
          </w:p>
          <w:p>
            <w:pPr>
              <w:spacing w:after="20"/>
              <w:ind w:left="20"/>
              <w:jc w:val="both"/>
            </w:pPr>
            <w:r>
              <w:rPr>
                <w:rFonts w:ascii="Times New Roman"/>
                <w:b w:val="false"/>
                <w:i w:val="false"/>
                <w:color w:val="000000"/>
                <w:sz w:val="20"/>
              </w:rPr>
              <w:t>
Евразийским банком развития;</w:t>
            </w:r>
          </w:p>
          <w:p>
            <w:pPr>
              <w:spacing w:after="20"/>
              <w:ind w:left="20"/>
              <w:jc w:val="both"/>
            </w:pPr>
            <w:r>
              <w:rPr>
                <w:rFonts w:ascii="Times New Roman"/>
                <w:b w:val="false"/>
                <w:i w:val="false"/>
                <w:color w:val="000000"/>
                <w:sz w:val="20"/>
              </w:rPr>
              <w:t>
Европейским инвестиционным банком;</w:t>
            </w:r>
          </w:p>
          <w:p>
            <w:pPr>
              <w:spacing w:after="20"/>
              <w:ind w:left="20"/>
              <w:jc w:val="both"/>
            </w:pPr>
            <w:r>
              <w:rPr>
                <w:rFonts w:ascii="Times New Roman"/>
                <w:b w:val="false"/>
                <w:i w:val="false"/>
                <w:color w:val="000000"/>
                <w:sz w:val="20"/>
              </w:rPr>
              <w:t>
Европейским банком реконструкции и развития;</w:t>
            </w:r>
          </w:p>
          <w:p>
            <w:pPr>
              <w:spacing w:after="20"/>
              <w:ind w:left="20"/>
              <w:jc w:val="both"/>
            </w:pPr>
            <w:r>
              <w:rPr>
                <w:rFonts w:ascii="Times New Roman"/>
                <w:b w:val="false"/>
                <w:i w:val="false"/>
                <w:color w:val="000000"/>
                <w:sz w:val="20"/>
              </w:rPr>
              <w:t>
Исламским банком развития;</w:t>
            </w:r>
          </w:p>
          <w:p>
            <w:pPr>
              <w:spacing w:after="20"/>
              <w:ind w:left="20"/>
              <w:jc w:val="both"/>
            </w:pPr>
            <w:r>
              <w:rPr>
                <w:rFonts w:ascii="Times New Roman"/>
                <w:b w:val="false"/>
                <w:i w:val="false"/>
                <w:color w:val="000000"/>
                <w:sz w:val="20"/>
              </w:rPr>
              <w:t>
Межамериканским банком развития;</w:t>
            </w:r>
          </w:p>
          <w:p>
            <w:pPr>
              <w:spacing w:after="20"/>
              <w:ind w:left="20"/>
              <w:jc w:val="both"/>
            </w:pPr>
            <w:r>
              <w:rPr>
                <w:rFonts w:ascii="Times New Roman"/>
                <w:b w:val="false"/>
                <w:i w:val="false"/>
                <w:color w:val="000000"/>
                <w:sz w:val="20"/>
              </w:rPr>
              <w:t>
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выпущенный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заключенные в целях хеджирования, базовым активом которых являются финансовые инструменты, разрешенные к приобретению за счет активов фондов недвижимости в соответствии с настоящим Перечнем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юридическом лице, осуществляющем обслуживание имущества, входящего в состав фонда недвижимости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