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391d" w14:textId="0273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Совместный приказ Председателя Комитета национальной безопасности Республики Казахстан от 25 октября 2016 года № 72 и Министра национальной экономики Республики Казахстан от 9 ноября 2016 года № 471. Зарегистрирован в Министерстве юстиции Республики Казахстан 13 декабря 2016 года № 14509.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232" w:id="2"/>
    <w:p>
      <w:pPr>
        <w:spacing w:after="0"/>
        <w:ind w:left="0"/>
        <w:jc w:val="both"/>
      </w:pPr>
      <w:r>
        <w:rPr>
          <w:rFonts w:ascii="Times New Roman"/>
          <w:b w:val="false"/>
          <w:i w:val="false"/>
          <w:color w:val="000000"/>
          <w:sz w:val="28"/>
        </w:rPr>
        <w:t xml:space="preserve">
      1) критерии оценки степени риска в сферах обеспечения информационной безопасности 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233" w:id="3"/>
    <w:p>
      <w:pPr>
        <w:spacing w:after="0"/>
        <w:ind w:left="0"/>
        <w:jc w:val="both"/>
      </w:pPr>
      <w:r>
        <w:rPr>
          <w:rFonts w:ascii="Times New Roman"/>
          <w:b w:val="false"/>
          <w:i w:val="false"/>
          <w:color w:val="000000"/>
          <w:sz w:val="28"/>
        </w:rPr>
        <w:t xml:space="preserve">
      2) проверочный лист в отношении субъектов (объектов) контроля, осуществляющих деятельность по разработке средств криптографической защиты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234" w:id="4"/>
    <w:p>
      <w:pPr>
        <w:spacing w:after="0"/>
        <w:ind w:left="0"/>
        <w:jc w:val="both"/>
      </w:pPr>
      <w:r>
        <w:rPr>
          <w:rFonts w:ascii="Times New Roman"/>
          <w:b w:val="false"/>
          <w:i w:val="false"/>
          <w:color w:val="000000"/>
          <w:sz w:val="28"/>
        </w:rPr>
        <w:t xml:space="preserve">
      3) проверочный лист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235" w:id="5"/>
    <w:p>
      <w:pPr>
        <w:spacing w:after="0"/>
        <w:ind w:left="0"/>
        <w:jc w:val="both"/>
      </w:pPr>
      <w:r>
        <w:rPr>
          <w:rFonts w:ascii="Times New Roman"/>
          <w:b w:val="false"/>
          <w:i w:val="false"/>
          <w:color w:val="000000"/>
          <w:sz w:val="28"/>
        </w:rPr>
        <w:t xml:space="preserve">
      4) проверочный лист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236" w:id="6"/>
    <w:p>
      <w:pPr>
        <w:spacing w:after="0"/>
        <w:ind w:left="0"/>
        <w:jc w:val="both"/>
      </w:pPr>
      <w:r>
        <w:rPr>
          <w:rFonts w:ascii="Times New Roman"/>
          <w:b w:val="false"/>
          <w:i w:val="false"/>
          <w:color w:val="000000"/>
          <w:sz w:val="28"/>
        </w:rPr>
        <w:t xml:space="preserve">
      5) проверочный лист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237" w:id="7"/>
    <w:p>
      <w:pPr>
        <w:spacing w:after="0"/>
        <w:ind w:left="0"/>
        <w:jc w:val="both"/>
      </w:pPr>
      <w:r>
        <w:rPr>
          <w:rFonts w:ascii="Times New Roman"/>
          <w:b w:val="false"/>
          <w:i w:val="false"/>
          <w:color w:val="000000"/>
          <w:sz w:val="28"/>
        </w:rPr>
        <w:t xml:space="preserve">
      6) проверочный лист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238" w:id="8"/>
    <w:p>
      <w:pPr>
        <w:spacing w:after="0"/>
        <w:ind w:left="0"/>
        <w:jc w:val="both"/>
      </w:pPr>
      <w:r>
        <w:rPr>
          <w:rFonts w:ascii="Times New Roman"/>
          <w:b w:val="false"/>
          <w:i w:val="false"/>
          <w:color w:val="000000"/>
          <w:sz w:val="28"/>
        </w:rPr>
        <w:t xml:space="preserve">
      7) проверочный лист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Председателя Комитета национальной безопасности РК от 30.11.2018 </w:t>
      </w:r>
      <w:r>
        <w:rPr>
          <w:rFonts w:ascii="Times New Roman"/>
          <w:b w:val="false"/>
          <w:i w:val="false"/>
          <w:color w:val="000000"/>
          <w:sz w:val="28"/>
        </w:rPr>
        <w:t>№ 97/қе</w:t>
      </w:r>
      <w:r>
        <w:rPr>
          <w:rFonts w:ascii="Times New Roman"/>
          <w:b w:val="false"/>
          <w:i w:val="false"/>
          <w:color w:val="ff0000"/>
          <w:sz w:val="28"/>
        </w:rPr>
        <w:t xml:space="preserve"> и Министра национальной экономики РК от 04.12.2018 № 94 (вводится в действие по истечении двадцати одного календарного дня после дня его первого официального опубликования);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2. Департаменту по защите государственных секретов Комитета национальной безопасности Республики Казахстан в установленном законодательством порядке обеспечить:</w:t>
      </w:r>
    </w:p>
    <w:bookmarkEnd w:id="9"/>
    <w:bookmarkStart w:name="z8"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9" w:id="11"/>
    <w:p>
      <w:pPr>
        <w:spacing w:after="0"/>
        <w:ind w:left="0"/>
        <w:jc w:val="both"/>
      </w:pPr>
      <w:r>
        <w:rPr>
          <w:rFonts w:ascii="Times New Roman"/>
          <w:b w:val="false"/>
          <w:i w:val="false"/>
          <w:color w:val="000000"/>
          <w:sz w:val="28"/>
        </w:rPr>
        <w:t>
      2) направление копии настоящего совместного приказа на официальное опубликование в периодические печатные издания и информационно-правовую систему "Әділет" в течение десяти календарных дней со дня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 в течение десяти календарных дней со дня государственной регистрации настоящего совместного приказа;</w:t>
      </w:r>
    </w:p>
    <w:bookmarkEnd w:id="11"/>
    <w:bookmarkStart w:name="z10" w:id="12"/>
    <w:p>
      <w:pPr>
        <w:spacing w:after="0"/>
        <w:ind w:left="0"/>
        <w:jc w:val="both"/>
      </w:pPr>
      <w:r>
        <w:rPr>
          <w:rFonts w:ascii="Times New Roman"/>
          <w:b w:val="false"/>
          <w:i w:val="false"/>
          <w:color w:val="000000"/>
          <w:sz w:val="28"/>
        </w:rPr>
        <w:t>
      3) размещение настоящего совместного приказа в интернет-ресурсе Комитета национальной безопасности Республики Казахстан.</w:t>
      </w:r>
    </w:p>
    <w:bookmarkEnd w:id="12"/>
    <w:bookmarkStart w:name="z11" w:id="13"/>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заместителя Председателя Комитета национальной безопасности Республики Казахстан, курирующего деятельность Департамента по защите государственных секретов Комитета национальной безопасности Республики Казахстан. </w:t>
      </w:r>
    </w:p>
    <w:bookmarkEnd w:id="13"/>
    <w:bookmarkStart w:name="z222"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p>
            <w:pPr>
              <w:spacing w:after="20"/>
              <w:ind w:left="20"/>
              <w:jc w:val="both"/>
            </w:pPr>
            <w:r>
              <w:rPr>
                <w:rFonts w:ascii="Times New Roman"/>
                <w:b w:val="false"/>
                <w:i w:val="false"/>
                <w:color w:val="000000"/>
                <w:sz w:val="20"/>
              </w:rPr>
              <w:t xml:space="preserve">Комитета национальной безопасности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________________   К. Масимов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p>
            <w:pPr>
              <w:spacing w:after="20"/>
              <w:ind w:left="20"/>
              <w:jc w:val="both"/>
            </w:pPr>
            <w:r>
              <w:rPr>
                <w:rFonts w:ascii="Times New Roman"/>
                <w:b w:val="false"/>
                <w:i w:val="false"/>
                <w:color w:val="000000"/>
                <w:sz w:val="20"/>
              </w:rPr>
              <w:t xml:space="preserve">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_____________   К. Бишимбаев </w:t>
            </w:r>
          </w:p>
        </w:tc>
      </w:tr>
    </w:tbl>
    <w:p>
      <w:pPr>
        <w:spacing w:after="0"/>
        <w:ind w:left="0"/>
        <w:jc w:val="both"/>
      </w:pPr>
      <w:bookmarkStart w:name="z14" w:id="15"/>
      <w:r>
        <w:rPr>
          <w:rFonts w:ascii="Times New Roman"/>
          <w:b w:val="false"/>
          <w:i w:val="false"/>
          <w:color w:val="000000"/>
          <w:sz w:val="28"/>
        </w:rPr>
        <w:t xml:space="preserve">
      "СОГЛАСОВАН"  </w:t>
      </w:r>
    </w:p>
    <w:bookmarkEnd w:id="15"/>
    <w:p>
      <w:pPr>
        <w:spacing w:after="0"/>
        <w:ind w:left="0"/>
        <w:jc w:val="both"/>
      </w:pPr>
      <w:r>
        <w:rPr>
          <w:rFonts w:ascii="Times New Roman"/>
          <w:b w:val="false"/>
          <w:i w:val="false"/>
          <w:color w:val="000000"/>
          <w:sz w:val="28"/>
        </w:rPr>
        <w:t xml:space="preserve">Председатель Комитета </w:t>
      </w:r>
    </w:p>
    <w:p>
      <w:pPr>
        <w:spacing w:after="0"/>
        <w:ind w:left="0"/>
        <w:jc w:val="both"/>
      </w:pPr>
      <w:r>
        <w:rPr>
          <w:rFonts w:ascii="Times New Roman"/>
          <w:b w:val="false"/>
          <w:i w:val="false"/>
          <w:color w:val="000000"/>
          <w:sz w:val="28"/>
        </w:rPr>
        <w:t xml:space="preserve">по правовой статистике </w:t>
      </w:r>
    </w:p>
    <w:p>
      <w:pPr>
        <w:spacing w:after="0"/>
        <w:ind w:left="0"/>
        <w:jc w:val="both"/>
      </w:pPr>
      <w:r>
        <w:rPr>
          <w:rFonts w:ascii="Times New Roman"/>
          <w:b w:val="false"/>
          <w:i w:val="false"/>
          <w:color w:val="000000"/>
          <w:sz w:val="28"/>
        </w:rPr>
        <w:t xml:space="preserve">и специальным учетам </w:t>
      </w:r>
    </w:p>
    <w:p>
      <w:pPr>
        <w:spacing w:after="0"/>
        <w:ind w:left="0"/>
        <w:jc w:val="both"/>
      </w:pPr>
      <w:r>
        <w:rPr>
          <w:rFonts w:ascii="Times New Roman"/>
          <w:b w:val="false"/>
          <w:i w:val="false"/>
          <w:color w:val="000000"/>
          <w:sz w:val="28"/>
        </w:rPr>
        <w:t xml:space="preserve">Генеральной прокуратуры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________________С. Айтпаева </w:t>
      </w:r>
    </w:p>
    <w:p>
      <w:pPr>
        <w:spacing w:after="0"/>
        <w:ind w:left="0"/>
        <w:jc w:val="both"/>
      </w:pPr>
      <w:r>
        <w:rPr>
          <w:rFonts w:ascii="Times New Roman"/>
          <w:b w:val="false"/>
          <w:i w:val="false"/>
          <w:color w:val="000000"/>
          <w:sz w:val="28"/>
        </w:rPr>
        <w:t xml:space="preserve">11 ноября 2016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40" w:id="16"/>
    <w:p>
      <w:pPr>
        <w:spacing w:after="0"/>
        <w:ind w:left="0"/>
        <w:jc w:val="left"/>
      </w:pPr>
      <w:r>
        <w:rPr>
          <w:rFonts w:ascii="Times New Roman"/>
          <w:b/>
          <w:i w:val="false"/>
          <w:color w:val="000000"/>
        </w:rPr>
        <w:t xml:space="preserve"> Критерии</w:t>
      </w:r>
      <w:r>
        <w:br/>
      </w:r>
      <w:r>
        <w:rPr>
          <w:rFonts w:ascii="Times New Roman"/>
          <w:b/>
          <w:i w:val="false"/>
          <w:color w:val="000000"/>
        </w:rPr>
        <w:t>оценки степени риска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End w:id="16"/>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bookmarkStart w:name="z241" w:id="17"/>
    <w:p>
      <w:pPr>
        <w:spacing w:after="0"/>
        <w:ind w:left="0"/>
        <w:jc w:val="left"/>
      </w:pPr>
      <w:r>
        <w:rPr>
          <w:rFonts w:ascii="Times New Roman"/>
          <w:b/>
          <w:i w:val="false"/>
          <w:color w:val="000000"/>
        </w:rPr>
        <w:t xml:space="preserve"> Глава 1. Общие положения</w:t>
      </w:r>
    </w:p>
    <w:bookmarkEnd w:id="17"/>
    <w:bookmarkStart w:name="z242" w:id="18"/>
    <w:p>
      <w:pPr>
        <w:spacing w:after="0"/>
        <w:ind w:left="0"/>
        <w:jc w:val="both"/>
      </w:pPr>
      <w:r>
        <w:rPr>
          <w:rFonts w:ascii="Times New Roman"/>
          <w:b w:val="false"/>
          <w:i w:val="false"/>
          <w:color w:val="000000"/>
          <w:sz w:val="28"/>
        </w:rPr>
        <w:t xml:space="preserve">
      1. Настоящие Критерии оценки степени риска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с целью проведения проверок, проводимых на соответствие квалификационным требованиям по выданным лицензиям (далее – проверки на соответствие требованиям). </w:t>
      </w:r>
    </w:p>
    <w:bookmarkEnd w:id="18"/>
    <w:bookmarkStart w:name="z243" w:id="1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
    <w:bookmarkStart w:name="z244" w:id="20"/>
    <w:p>
      <w:pPr>
        <w:spacing w:after="0"/>
        <w:ind w:left="0"/>
        <w:jc w:val="both"/>
      </w:pPr>
      <w:r>
        <w:rPr>
          <w:rFonts w:ascii="Times New Roman"/>
          <w:b w:val="false"/>
          <w:i w:val="false"/>
          <w:color w:val="000000"/>
          <w:sz w:val="28"/>
        </w:rPr>
        <w:t>
      1) субъекты (объекты) контроля – лицензиаты, осуществляющие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End w:id="20"/>
    <w:bookmarkStart w:name="z245" w:id="21"/>
    <w:p>
      <w:pPr>
        <w:spacing w:after="0"/>
        <w:ind w:left="0"/>
        <w:jc w:val="both"/>
      </w:pPr>
      <w:r>
        <w:rPr>
          <w:rFonts w:ascii="Times New Roman"/>
          <w:b w:val="false"/>
          <w:i w:val="false"/>
          <w:color w:val="000000"/>
          <w:sz w:val="28"/>
        </w:rPr>
        <w:t>
      2) балл – количественная мера исчисления риска;</w:t>
      </w:r>
    </w:p>
    <w:bookmarkEnd w:id="21"/>
    <w:bookmarkStart w:name="z246" w:id="22"/>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части передачи в постоянное или временное пользование разработанной методики третьим лицам без согласования с лицензиаром;</w:t>
      </w:r>
    </w:p>
    <w:bookmarkEnd w:id="22"/>
    <w:bookmarkStart w:name="z247" w:id="23"/>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3"/>
    <w:bookmarkStart w:name="z248" w:id="24"/>
    <w:p>
      <w:pPr>
        <w:spacing w:after="0"/>
        <w:ind w:left="0"/>
        <w:jc w:val="both"/>
      </w:pPr>
      <w:r>
        <w:rPr>
          <w:rFonts w:ascii="Times New Roman"/>
          <w:b w:val="false"/>
          <w:i w:val="false"/>
          <w:color w:val="000000"/>
          <w:sz w:val="28"/>
        </w:rPr>
        <w:t>
      5) значительное нарушение – нарушение требований, установленных законодательством Республики Казахстан в сферах информационной безопасности и специальных технических средств, предназначенных для проведения оперативно-розыскных мероприятий, в части несоответствия квалификационным требованиям: представление электронного отчета не по форме, предоставление недостоверных данных в электронном формате, отсутствие разработанных и утвержденных методик, нарушение порядка передачи поисковых технических средств, несоответствие помещения требованиям, предъявляемым к нему;</w:t>
      </w:r>
    </w:p>
    <w:bookmarkEnd w:id="24"/>
    <w:bookmarkStart w:name="z249" w:id="25"/>
    <w:p>
      <w:pPr>
        <w:spacing w:after="0"/>
        <w:ind w:left="0"/>
        <w:jc w:val="both"/>
      </w:pPr>
      <w:r>
        <w:rPr>
          <w:rFonts w:ascii="Times New Roman"/>
          <w:b w:val="false"/>
          <w:i w:val="false"/>
          <w:color w:val="000000"/>
          <w:sz w:val="28"/>
        </w:rPr>
        <w:t xml:space="preserve">
      6) грубое нарушение – нарушение требований, установленных законодательством Республики Казахстан в сферах информационной безопасности и специальных технических средств, предназначенных для проведения оперативно-розыскных мероприятий,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несоответствия квалификационным требованиям: непредставление электронного отчета, отсутствие специалиста, отсутствие специально выделенного помещения для осуществления заявленного вида деятельности, отсутствие разрешения на работу со сведениями, составляющими государственные секреты, отсутствие минимально необходимого оборудования, нарушение порядка уведомления лицензиара, нарушение порядка передачи разработанных, реализуемых или ремонтируемых специальных технических средств, предназначенных для проведения оперативно-розыскных мероприятий, и документации к ним третьим лицам;</w:t>
      </w:r>
    </w:p>
    <w:bookmarkEnd w:id="25"/>
    <w:bookmarkStart w:name="z250" w:id="26"/>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6"/>
    <w:bookmarkStart w:name="z251" w:id="27"/>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проверок на соответствие требованиям;</w:t>
      </w:r>
    </w:p>
    <w:bookmarkEnd w:id="27"/>
    <w:bookmarkStart w:name="z252" w:id="28"/>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8"/>
    <w:bookmarkStart w:name="z253" w:id="29"/>
    <w:p>
      <w:pPr>
        <w:spacing w:after="0"/>
        <w:ind w:left="0"/>
        <w:jc w:val="both"/>
      </w:pPr>
      <w:r>
        <w:rPr>
          <w:rFonts w:ascii="Times New Roman"/>
          <w:b w:val="false"/>
          <w:i w:val="false"/>
          <w:color w:val="000000"/>
          <w:sz w:val="28"/>
        </w:rPr>
        <w:t>
      10)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9"/>
    <w:bookmarkStart w:name="z254" w:id="30"/>
    <w:p>
      <w:pPr>
        <w:spacing w:after="0"/>
        <w:ind w:left="0"/>
        <w:jc w:val="both"/>
      </w:pPr>
      <w:r>
        <w:rPr>
          <w:rFonts w:ascii="Times New Roman"/>
          <w:b w:val="false"/>
          <w:i w:val="false"/>
          <w:color w:val="000000"/>
          <w:sz w:val="28"/>
        </w:rPr>
        <w:t xml:space="preserve">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 </w:t>
      </w:r>
    </w:p>
    <w:bookmarkEnd w:id="30"/>
    <w:bookmarkStart w:name="z255" w:id="31"/>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31"/>
    <w:bookmarkStart w:name="z256" w:id="3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w:t>
      </w:r>
    </w:p>
    <w:bookmarkEnd w:id="32"/>
    <w:bookmarkStart w:name="z257" w:id="33"/>
    <w:p>
      <w:pPr>
        <w:spacing w:after="0"/>
        <w:ind w:left="0"/>
        <w:jc w:val="both"/>
      </w:pPr>
      <w:r>
        <w:rPr>
          <w:rFonts w:ascii="Times New Roman"/>
          <w:b w:val="false"/>
          <w:i w:val="false"/>
          <w:color w:val="000000"/>
          <w:sz w:val="28"/>
        </w:rPr>
        <w:t>
      3. В целях управления рисками при осуществлении проверки на соответствие требованиям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критерии оценки степени риска формируются посредством поэтапного определения объективных и субъективных (Мультикритериальный анализ решений).</w:t>
      </w:r>
    </w:p>
    <w:bookmarkEnd w:id="33"/>
    <w:bookmarkStart w:name="z258" w:id="34"/>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 к одной из следующих степеней риска:</w:t>
      </w:r>
    </w:p>
    <w:bookmarkEnd w:id="34"/>
    <w:bookmarkStart w:name="z259" w:id="35"/>
    <w:p>
      <w:pPr>
        <w:spacing w:after="0"/>
        <w:ind w:left="0"/>
        <w:jc w:val="both"/>
      </w:pPr>
      <w:r>
        <w:rPr>
          <w:rFonts w:ascii="Times New Roman"/>
          <w:b w:val="false"/>
          <w:i w:val="false"/>
          <w:color w:val="000000"/>
          <w:sz w:val="28"/>
        </w:rPr>
        <w:t>
      1) высокий риск;</w:t>
      </w:r>
    </w:p>
    <w:bookmarkEnd w:id="35"/>
    <w:bookmarkStart w:name="z260" w:id="36"/>
    <w:p>
      <w:pPr>
        <w:spacing w:after="0"/>
        <w:ind w:left="0"/>
        <w:jc w:val="both"/>
      </w:pPr>
      <w:r>
        <w:rPr>
          <w:rFonts w:ascii="Times New Roman"/>
          <w:b w:val="false"/>
          <w:i w:val="false"/>
          <w:color w:val="000000"/>
          <w:sz w:val="28"/>
        </w:rPr>
        <w:t>
      2) средний риск;</w:t>
      </w:r>
    </w:p>
    <w:bookmarkEnd w:id="36"/>
    <w:bookmarkStart w:name="z261" w:id="37"/>
    <w:p>
      <w:pPr>
        <w:spacing w:after="0"/>
        <w:ind w:left="0"/>
        <w:jc w:val="both"/>
      </w:pPr>
      <w:r>
        <w:rPr>
          <w:rFonts w:ascii="Times New Roman"/>
          <w:b w:val="false"/>
          <w:i w:val="false"/>
          <w:color w:val="000000"/>
          <w:sz w:val="28"/>
        </w:rPr>
        <w:t>
      3) низкий риск.</w:t>
      </w:r>
    </w:p>
    <w:bookmarkEnd w:id="37"/>
    <w:bookmarkStart w:name="z262" w:id="38"/>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средней и низкой степени риска, проводятся проверка на соответствие требованиям и внеплановая проверка.</w:t>
      </w:r>
    </w:p>
    <w:bookmarkEnd w:id="38"/>
    <w:bookmarkStart w:name="z263" w:id="39"/>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 к одной из следующих степеней риска:</w:t>
      </w:r>
    </w:p>
    <w:bookmarkEnd w:id="39"/>
    <w:bookmarkStart w:name="z264" w:id="40"/>
    <w:p>
      <w:pPr>
        <w:spacing w:after="0"/>
        <w:ind w:left="0"/>
        <w:jc w:val="both"/>
      </w:pPr>
      <w:r>
        <w:rPr>
          <w:rFonts w:ascii="Times New Roman"/>
          <w:b w:val="false"/>
          <w:i w:val="false"/>
          <w:color w:val="000000"/>
          <w:sz w:val="28"/>
        </w:rPr>
        <w:t>
      1) высокий риск;</w:t>
      </w:r>
    </w:p>
    <w:bookmarkEnd w:id="40"/>
    <w:bookmarkStart w:name="z265" w:id="41"/>
    <w:p>
      <w:pPr>
        <w:spacing w:after="0"/>
        <w:ind w:left="0"/>
        <w:jc w:val="both"/>
      </w:pPr>
      <w:r>
        <w:rPr>
          <w:rFonts w:ascii="Times New Roman"/>
          <w:b w:val="false"/>
          <w:i w:val="false"/>
          <w:color w:val="000000"/>
          <w:sz w:val="28"/>
        </w:rPr>
        <w:t>
      2) средний риск;</w:t>
      </w:r>
    </w:p>
    <w:bookmarkEnd w:id="41"/>
    <w:bookmarkStart w:name="z266" w:id="42"/>
    <w:p>
      <w:pPr>
        <w:spacing w:after="0"/>
        <w:ind w:left="0"/>
        <w:jc w:val="both"/>
      </w:pPr>
      <w:r>
        <w:rPr>
          <w:rFonts w:ascii="Times New Roman"/>
          <w:b w:val="false"/>
          <w:i w:val="false"/>
          <w:color w:val="000000"/>
          <w:sz w:val="28"/>
        </w:rPr>
        <w:t>
      3) низкий риск.</w:t>
      </w:r>
    </w:p>
    <w:bookmarkEnd w:id="42"/>
    <w:bookmarkStart w:name="z267" w:id="43"/>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43"/>
    <w:bookmarkStart w:name="z268" w:id="4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4"/>
    <w:bookmarkStart w:name="z269" w:id="4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5"/>
    <w:bookmarkStart w:name="z270" w:id="4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6"/>
    <w:bookmarkStart w:name="z271" w:id="47"/>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соответствуют степени нарушения: грубое, значительное и незначительное.</w:t>
      </w:r>
    </w:p>
    <w:bookmarkEnd w:id="47"/>
    <w:bookmarkStart w:name="z272" w:id="48"/>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w:t>
      </w:r>
    </w:p>
    <w:bookmarkEnd w:id="48"/>
    <w:bookmarkStart w:name="z273" w:id="49"/>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формируются посредством объективных и субъективных критериев.</w:t>
      </w:r>
    </w:p>
    <w:bookmarkEnd w:id="49"/>
    <w:bookmarkStart w:name="z274" w:id="50"/>
    <w:p>
      <w:pPr>
        <w:spacing w:after="0"/>
        <w:ind w:left="0"/>
        <w:jc w:val="left"/>
      </w:pPr>
      <w:r>
        <w:rPr>
          <w:rFonts w:ascii="Times New Roman"/>
          <w:b/>
          <w:i w:val="false"/>
          <w:color w:val="000000"/>
        </w:rPr>
        <w:t xml:space="preserve"> Параграф 1. Объективные критерии</w:t>
      </w:r>
    </w:p>
    <w:bookmarkEnd w:id="50"/>
    <w:bookmarkStart w:name="z275" w:id="51"/>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51"/>
    <w:bookmarkStart w:name="z276" w:id="52"/>
    <w:p>
      <w:pPr>
        <w:spacing w:after="0"/>
        <w:ind w:left="0"/>
        <w:jc w:val="both"/>
      </w:pPr>
      <w:r>
        <w:rPr>
          <w:rFonts w:ascii="Times New Roman"/>
          <w:b w:val="false"/>
          <w:i w:val="false"/>
          <w:color w:val="000000"/>
          <w:sz w:val="28"/>
        </w:rPr>
        <w:t>
      7. По объективным критериям субъекты (объекты) контроля в сферах информационной безопасности и специальных технических средств, предназначенных для проведения оперативно-розыскных мероприятий, распределяются на высокую, среднюю и низкую степени риска в зависимости от наступления неблагоприятного происшествия для законных интересов физических и юридических лиц, государства:</w:t>
      </w:r>
    </w:p>
    <w:bookmarkEnd w:id="52"/>
    <w:bookmarkStart w:name="z277" w:id="53"/>
    <w:p>
      <w:pPr>
        <w:spacing w:after="0"/>
        <w:ind w:left="0"/>
        <w:jc w:val="both"/>
      </w:pPr>
      <w:r>
        <w:rPr>
          <w:rFonts w:ascii="Times New Roman"/>
          <w:b w:val="false"/>
          <w:i w:val="false"/>
          <w:color w:val="000000"/>
          <w:sz w:val="28"/>
        </w:rPr>
        <w:t>
      1) к высокой степени риска относятся субъекты (объекты) контроля, осуществляющие деятельность по разработке, производству, ремонту и реализации специальных технических средств, предназначенных для проведения оперативно-розыскных мероприятий, а также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bookmarkEnd w:id="53"/>
    <w:bookmarkStart w:name="z278" w:id="54"/>
    <w:p>
      <w:pPr>
        <w:spacing w:after="0"/>
        <w:ind w:left="0"/>
        <w:jc w:val="both"/>
      </w:pPr>
      <w:r>
        <w:rPr>
          <w:rFonts w:ascii="Times New Roman"/>
          <w:b w:val="false"/>
          <w:i w:val="false"/>
          <w:color w:val="000000"/>
          <w:sz w:val="28"/>
        </w:rPr>
        <w:t>
      2) к средней степени риска относятся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а также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bookmarkEnd w:id="54"/>
    <w:bookmarkStart w:name="z279" w:id="55"/>
    <w:p>
      <w:pPr>
        <w:spacing w:after="0"/>
        <w:ind w:left="0"/>
        <w:jc w:val="both"/>
      </w:pPr>
      <w:r>
        <w:rPr>
          <w:rFonts w:ascii="Times New Roman"/>
          <w:b w:val="false"/>
          <w:i w:val="false"/>
          <w:color w:val="000000"/>
          <w:sz w:val="28"/>
        </w:rPr>
        <w:t>
      3) к низкой степени риска относятся субъекты (объекты) контроля, осуществляющие деятельность по разработке средств криптографической защиты информации.</w:t>
      </w:r>
    </w:p>
    <w:bookmarkEnd w:id="55"/>
    <w:bookmarkStart w:name="z280" w:id="56"/>
    <w:p>
      <w:pPr>
        <w:spacing w:after="0"/>
        <w:ind w:left="0"/>
        <w:jc w:val="left"/>
      </w:pPr>
      <w:r>
        <w:rPr>
          <w:rFonts w:ascii="Times New Roman"/>
          <w:b/>
          <w:i w:val="false"/>
          <w:color w:val="000000"/>
        </w:rPr>
        <w:t xml:space="preserve"> Параграф 2. Субъективные критерии</w:t>
      </w:r>
    </w:p>
    <w:bookmarkEnd w:id="56"/>
    <w:bookmarkStart w:name="z281" w:id="57"/>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57"/>
    <w:bookmarkStart w:name="z282" w:id="58"/>
    <w:p>
      <w:pPr>
        <w:spacing w:after="0"/>
        <w:ind w:left="0"/>
        <w:jc w:val="both"/>
      </w:pPr>
      <w:r>
        <w:rPr>
          <w:rFonts w:ascii="Times New Roman"/>
          <w:b w:val="false"/>
          <w:i w:val="false"/>
          <w:color w:val="000000"/>
          <w:sz w:val="28"/>
        </w:rPr>
        <w:t>
      1) формирование базы данных и сбор информации;</w:t>
      </w:r>
    </w:p>
    <w:bookmarkEnd w:id="58"/>
    <w:bookmarkStart w:name="z283" w:id="59"/>
    <w:p>
      <w:pPr>
        <w:spacing w:after="0"/>
        <w:ind w:left="0"/>
        <w:jc w:val="both"/>
      </w:pPr>
      <w:r>
        <w:rPr>
          <w:rFonts w:ascii="Times New Roman"/>
          <w:b w:val="false"/>
          <w:i w:val="false"/>
          <w:color w:val="000000"/>
          <w:sz w:val="28"/>
        </w:rPr>
        <w:t>
      2) анализ информации и оценка рисков.</w:t>
      </w:r>
    </w:p>
    <w:bookmarkEnd w:id="59"/>
    <w:bookmarkStart w:name="z284" w:id="60"/>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нарушающих законодательство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End w:id="60"/>
    <w:bookmarkStart w:name="z285" w:id="61"/>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61"/>
    <w:bookmarkStart w:name="z286" w:id="62"/>
    <w:p>
      <w:pPr>
        <w:spacing w:after="0"/>
        <w:ind w:left="0"/>
        <w:jc w:val="both"/>
      </w:pPr>
      <w:r>
        <w:rPr>
          <w:rFonts w:ascii="Times New Roman"/>
          <w:b w:val="false"/>
          <w:i w:val="false"/>
          <w:color w:val="000000"/>
          <w:sz w:val="28"/>
        </w:rPr>
        <w:t xml:space="preserve">
      1) результаты предыдущих проверок; </w:t>
      </w:r>
    </w:p>
    <w:bookmarkEnd w:id="62"/>
    <w:bookmarkStart w:name="z287" w:id="63"/>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w:t>
      </w:r>
    </w:p>
    <w:bookmarkEnd w:id="63"/>
    <w:bookmarkStart w:name="z288" w:id="64"/>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w:t>
      </w:r>
    </w:p>
    <w:bookmarkEnd w:id="64"/>
    <w:bookmarkStart w:name="z289" w:id="65"/>
    <w:p>
      <w:pPr>
        <w:spacing w:after="0"/>
        <w:ind w:left="0"/>
        <w:jc w:val="both"/>
      </w:pPr>
      <w:r>
        <w:rPr>
          <w:rFonts w:ascii="Times New Roman"/>
          <w:b w:val="false"/>
          <w:i w:val="false"/>
          <w:color w:val="000000"/>
          <w:sz w:val="28"/>
        </w:rPr>
        <w:t>
      10. Анализ и оценка субъективных критериев позволяют сконцентрировать проведение проверки на соответствие требованиям субъекта (объекта) контроля в отношении субъекта (объекта) контроля с наибольшим потенциальным риском.</w:t>
      </w:r>
    </w:p>
    <w:bookmarkEnd w:id="65"/>
    <w:bookmarkStart w:name="z290" w:id="66"/>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6"/>
    <w:bookmarkStart w:name="z291" w:id="67"/>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проведенной предыдущей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7"/>
    <w:bookmarkStart w:name="z292" w:id="68"/>
    <w:p>
      <w:pPr>
        <w:spacing w:after="0"/>
        <w:ind w:left="0"/>
        <w:jc w:val="both"/>
      </w:pPr>
      <w:r>
        <w:rPr>
          <w:rFonts w:ascii="Times New Roman"/>
          <w:b w:val="false"/>
          <w:i w:val="false"/>
          <w:color w:val="000000"/>
          <w:sz w:val="28"/>
        </w:rPr>
        <w:t xml:space="preserve">
      11. Степени нарушений требований, предъявляемых к деятельности субъектов (объектов) контроля,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68"/>
    <w:bookmarkStart w:name="z293" w:id="69"/>
    <w:p>
      <w:pPr>
        <w:spacing w:after="0"/>
        <w:ind w:left="0"/>
        <w:jc w:val="both"/>
      </w:pPr>
      <w:r>
        <w:rPr>
          <w:rFonts w:ascii="Times New Roman"/>
          <w:b w:val="false"/>
          <w:i w:val="false"/>
          <w:color w:val="000000"/>
          <w:sz w:val="28"/>
        </w:rPr>
        <w:t>
      12.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w:t>
      </w:r>
    </w:p>
    <w:bookmarkEnd w:id="69"/>
    <w:bookmarkStart w:name="z294" w:id="70"/>
    <w:p>
      <w:pPr>
        <w:spacing w:after="0"/>
        <w:ind w:left="0"/>
        <w:jc w:val="both"/>
      </w:pPr>
      <w:r>
        <w:rPr>
          <w:rFonts w:ascii="Times New Roman"/>
          <w:b w:val="false"/>
          <w:i w:val="false"/>
          <w:color w:val="000000"/>
          <w:sz w:val="28"/>
        </w:rPr>
        <w:t xml:space="preserve">
      1)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разработке средств криптографической защиты информации,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Критериям;</w:t>
      </w:r>
    </w:p>
    <w:bookmarkEnd w:id="70"/>
    <w:bookmarkStart w:name="z295" w:id="71"/>
    <w:p>
      <w:pPr>
        <w:spacing w:after="0"/>
        <w:ind w:left="0"/>
        <w:jc w:val="both"/>
      </w:pPr>
      <w:r>
        <w:rPr>
          <w:rFonts w:ascii="Times New Roman"/>
          <w:b w:val="false"/>
          <w:i w:val="false"/>
          <w:color w:val="000000"/>
          <w:sz w:val="28"/>
        </w:rPr>
        <w:t xml:space="preserve">
      2)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w:t>
      </w:r>
    </w:p>
    <w:bookmarkEnd w:id="71"/>
    <w:bookmarkStart w:name="z296" w:id="72"/>
    <w:p>
      <w:pPr>
        <w:spacing w:after="0"/>
        <w:ind w:left="0"/>
        <w:jc w:val="both"/>
      </w:pPr>
      <w:r>
        <w:rPr>
          <w:rFonts w:ascii="Times New Roman"/>
          <w:b w:val="false"/>
          <w:i w:val="false"/>
          <w:color w:val="000000"/>
          <w:sz w:val="28"/>
        </w:rPr>
        <w:t xml:space="preserve">
      3)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Критериям;</w:t>
      </w:r>
    </w:p>
    <w:bookmarkEnd w:id="72"/>
    <w:bookmarkStart w:name="z297" w:id="73"/>
    <w:p>
      <w:pPr>
        <w:spacing w:after="0"/>
        <w:ind w:left="0"/>
        <w:jc w:val="both"/>
      </w:pPr>
      <w:r>
        <w:rPr>
          <w:rFonts w:ascii="Times New Roman"/>
          <w:b w:val="false"/>
          <w:i w:val="false"/>
          <w:color w:val="000000"/>
          <w:sz w:val="28"/>
        </w:rPr>
        <w:t xml:space="preserve">
      4)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Критериям;</w:t>
      </w:r>
    </w:p>
    <w:bookmarkEnd w:id="73"/>
    <w:bookmarkStart w:name="z298" w:id="74"/>
    <w:p>
      <w:pPr>
        <w:spacing w:after="0"/>
        <w:ind w:left="0"/>
        <w:jc w:val="both"/>
      </w:pPr>
      <w:r>
        <w:rPr>
          <w:rFonts w:ascii="Times New Roman"/>
          <w:b w:val="false"/>
          <w:i w:val="false"/>
          <w:color w:val="000000"/>
          <w:sz w:val="28"/>
        </w:rPr>
        <w:t xml:space="preserve">
      5)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Критериям;</w:t>
      </w:r>
    </w:p>
    <w:bookmarkEnd w:id="74"/>
    <w:bookmarkStart w:name="z299" w:id="75"/>
    <w:p>
      <w:pPr>
        <w:spacing w:after="0"/>
        <w:ind w:left="0"/>
        <w:jc w:val="both"/>
      </w:pPr>
      <w:r>
        <w:rPr>
          <w:rFonts w:ascii="Times New Roman"/>
          <w:b w:val="false"/>
          <w:i w:val="false"/>
          <w:color w:val="000000"/>
          <w:sz w:val="28"/>
        </w:rPr>
        <w:t xml:space="preserve">
      6)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Критериям.</w:t>
      </w:r>
    </w:p>
    <w:bookmarkEnd w:id="75"/>
    <w:bookmarkStart w:name="z300" w:id="76"/>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76"/>
    <w:bookmarkStart w:name="z301" w:id="77"/>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w:t>
      </w:r>
    </w:p>
    <w:bookmarkEnd w:id="77"/>
    <w:bookmarkStart w:name="z302" w:id="78"/>
    <w:p>
      <w:pPr>
        <w:spacing w:after="0"/>
        <w:ind w:left="0"/>
        <w:jc w:val="both"/>
      </w:pPr>
      <w:r>
        <w:rPr>
          <w:rFonts w:ascii="Times New Roman"/>
          <w:b w:val="false"/>
          <w:i w:val="false"/>
          <w:color w:val="000000"/>
          <w:sz w:val="28"/>
        </w:rPr>
        <w:t xml:space="preserve">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осуществляется проверка на соответствие требованиям, не должен превышать пяти процентов от общего количества таких субъектов контроля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p>
    <w:bookmarkEnd w:id="78"/>
    <w:bookmarkStart w:name="z303" w:id="79"/>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79"/>
    <w:bookmarkStart w:name="z304" w:id="80"/>
    <w:p>
      <w:pPr>
        <w:spacing w:after="0"/>
        <w:ind w:left="0"/>
        <w:jc w:val="both"/>
      </w:pPr>
      <w:r>
        <w:rPr>
          <w:rFonts w:ascii="Times New Roman"/>
          <w:b w:val="false"/>
          <w:i w:val="false"/>
          <w:color w:val="000000"/>
          <w:sz w:val="28"/>
        </w:rPr>
        <w:t xml:space="preserve">
      14.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субъектов (объектов) контроля (SP) и показателя степени риска по субъективным критериям (SC) с последующей нормализацией значений данных в диапазоне от 0 до 100 баллов. </w:t>
      </w:r>
    </w:p>
    <w:bookmarkEnd w:id="80"/>
    <w:bookmarkStart w:name="z305" w:id="81"/>
    <w:p>
      <w:pPr>
        <w:spacing w:after="0"/>
        <w:ind w:left="0"/>
        <w:jc w:val="both"/>
      </w:pPr>
      <w:r>
        <w:rPr>
          <w:rFonts w:ascii="Times New Roman"/>
          <w:b w:val="false"/>
          <w:i w:val="false"/>
          <w:color w:val="000000"/>
          <w:sz w:val="28"/>
        </w:rPr>
        <w:t>
      Rпром = SP + SC, где</w:t>
      </w:r>
    </w:p>
    <w:bookmarkEnd w:id="81"/>
    <w:bookmarkStart w:name="z306" w:id="82"/>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82"/>
    <w:bookmarkStart w:name="z307" w:id="83"/>
    <w:p>
      <w:pPr>
        <w:spacing w:after="0"/>
        <w:ind w:left="0"/>
        <w:jc w:val="both"/>
      </w:pPr>
      <w:r>
        <w:rPr>
          <w:rFonts w:ascii="Times New Roman"/>
          <w:b w:val="false"/>
          <w:i w:val="false"/>
          <w:color w:val="000000"/>
          <w:sz w:val="28"/>
        </w:rPr>
        <w:t>
      SР – показатель степени риска по нарушениям,</w:t>
      </w:r>
    </w:p>
    <w:bookmarkEnd w:id="83"/>
    <w:bookmarkStart w:name="z308" w:id="84"/>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Критериев.</w:t>
      </w:r>
    </w:p>
    <w:bookmarkEnd w:id="84"/>
    <w:bookmarkStart w:name="z309" w:id="8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5"/>
    <w:bookmarkStart w:name="z310" w:id="86"/>
    <w:p>
      <w:pPr>
        <w:spacing w:after="0"/>
        <w:ind w:left="0"/>
        <w:jc w:val="both"/>
      </w:pPr>
      <w:r>
        <w:rPr>
          <w:rFonts w:ascii="Times New Roman"/>
          <w:b w:val="false"/>
          <w:i w:val="false"/>
          <w:color w:val="000000"/>
          <w:sz w:val="28"/>
        </w:rPr>
        <w:t>
      15. По данным, полученным по результатам предыдущих проверок, формируется показатель степени риска по нарушениям, оцениваемый в баллах от 0 до 100.</w:t>
      </w:r>
    </w:p>
    <w:bookmarkEnd w:id="86"/>
    <w:bookmarkStart w:name="z311" w:id="87"/>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w:t>
      </w:r>
    </w:p>
    <w:bookmarkEnd w:id="87"/>
    <w:bookmarkStart w:name="z312" w:id="88"/>
    <w:p>
      <w:pPr>
        <w:spacing w:after="0"/>
        <w:ind w:left="0"/>
        <w:jc w:val="both"/>
      </w:pPr>
      <w:r>
        <w:rPr>
          <w:rFonts w:ascii="Times New Roman"/>
          <w:b w:val="false"/>
          <w:i w:val="false"/>
          <w:color w:val="000000"/>
          <w:sz w:val="28"/>
        </w:rPr>
        <w:t>
      При невыявлении грубых нарушений показатель степени риска рассчитывается суммарным показателем по нарушениям значительной и незначительной степени.</w:t>
      </w:r>
    </w:p>
    <w:bookmarkEnd w:id="88"/>
    <w:bookmarkStart w:name="z313" w:id="8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9"/>
    <w:bookmarkStart w:name="z314" w:id="90"/>
    <w:p>
      <w:pPr>
        <w:spacing w:after="0"/>
        <w:ind w:left="0"/>
        <w:jc w:val="both"/>
      </w:pPr>
      <w:r>
        <w:rPr>
          <w:rFonts w:ascii="Times New Roman"/>
          <w:b w:val="false"/>
          <w:i w:val="false"/>
          <w:color w:val="000000"/>
          <w:sz w:val="28"/>
        </w:rPr>
        <w:t>
      SРз = (SР2 х 100/SР1) х 0,7 ,</w:t>
      </w:r>
    </w:p>
    <w:bookmarkEnd w:id="90"/>
    <w:bookmarkStart w:name="z315" w:id="91"/>
    <w:p>
      <w:pPr>
        <w:spacing w:after="0"/>
        <w:ind w:left="0"/>
        <w:jc w:val="both"/>
      </w:pPr>
      <w:r>
        <w:rPr>
          <w:rFonts w:ascii="Times New Roman"/>
          <w:b w:val="false"/>
          <w:i w:val="false"/>
          <w:color w:val="000000"/>
          <w:sz w:val="28"/>
        </w:rPr>
        <w:t>
      где:</w:t>
      </w:r>
    </w:p>
    <w:bookmarkEnd w:id="91"/>
    <w:bookmarkStart w:name="z316" w:id="92"/>
    <w:p>
      <w:pPr>
        <w:spacing w:after="0"/>
        <w:ind w:left="0"/>
        <w:jc w:val="both"/>
      </w:pPr>
      <w:r>
        <w:rPr>
          <w:rFonts w:ascii="Times New Roman"/>
          <w:b w:val="false"/>
          <w:i w:val="false"/>
          <w:color w:val="000000"/>
          <w:sz w:val="28"/>
        </w:rPr>
        <w:t>
      SРз – показатель значительных нарушений;</w:t>
      </w:r>
    </w:p>
    <w:bookmarkEnd w:id="92"/>
    <w:bookmarkStart w:name="z317" w:id="93"/>
    <w:p>
      <w:pPr>
        <w:spacing w:after="0"/>
        <w:ind w:left="0"/>
        <w:jc w:val="both"/>
      </w:pPr>
      <w:r>
        <w:rPr>
          <w:rFonts w:ascii="Times New Roman"/>
          <w:b w:val="false"/>
          <w:i w:val="false"/>
          <w:color w:val="000000"/>
          <w:sz w:val="28"/>
        </w:rPr>
        <w:t>
      SР1 – требуемое количество значительных нарушений;</w:t>
      </w:r>
    </w:p>
    <w:bookmarkEnd w:id="93"/>
    <w:bookmarkStart w:name="z318" w:id="94"/>
    <w:p>
      <w:pPr>
        <w:spacing w:after="0"/>
        <w:ind w:left="0"/>
        <w:jc w:val="both"/>
      </w:pPr>
      <w:r>
        <w:rPr>
          <w:rFonts w:ascii="Times New Roman"/>
          <w:b w:val="false"/>
          <w:i w:val="false"/>
          <w:color w:val="000000"/>
          <w:sz w:val="28"/>
        </w:rPr>
        <w:t>
      SР2 – количество выявленных значительных нарушений.</w:t>
      </w:r>
    </w:p>
    <w:bookmarkEnd w:id="94"/>
    <w:bookmarkStart w:name="z319" w:id="9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5"/>
    <w:bookmarkStart w:name="z320" w:id="96"/>
    <w:p>
      <w:pPr>
        <w:spacing w:after="0"/>
        <w:ind w:left="0"/>
        <w:jc w:val="both"/>
      </w:pPr>
      <w:r>
        <w:rPr>
          <w:rFonts w:ascii="Times New Roman"/>
          <w:b w:val="false"/>
          <w:i w:val="false"/>
          <w:color w:val="000000"/>
          <w:sz w:val="28"/>
        </w:rPr>
        <w:t>
      SРн = (SР2 х 100/SР1) х 0,3 ,</w:t>
      </w:r>
    </w:p>
    <w:bookmarkEnd w:id="96"/>
    <w:bookmarkStart w:name="z321" w:id="97"/>
    <w:p>
      <w:pPr>
        <w:spacing w:after="0"/>
        <w:ind w:left="0"/>
        <w:jc w:val="both"/>
      </w:pPr>
      <w:r>
        <w:rPr>
          <w:rFonts w:ascii="Times New Roman"/>
          <w:b w:val="false"/>
          <w:i w:val="false"/>
          <w:color w:val="000000"/>
          <w:sz w:val="28"/>
        </w:rPr>
        <w:t>
      где:</w:t>
      </w:r>
    </w:p>
    <w:bookmarkEnd w:id="97"/>
    <w:bookmarkStart w:name="z322" w:id="98"/>
    <w:p>
      <w:pPr>
        <w:spacing w:after="0"/>
        <w:ind w:left="0"/>
        <w:jc w:val="both"/>
      </w:pPr>
      <w:r>
        <w:rPr>
          <w:rFonts w:ascii="Times New Roman"/>
          <w:b w:val="false"/>
          <w:i w:val="false"/>
          <w:color w:val="000000"/>
          <w:sz w:val="28"/>
        </w:rPr>
        <w:t>
      SРн – показатель незначительных нарушений;</w:t>
      </w:r>
    </w:p>
    <w:bookmarkEnd w:id="98"/>
    <w:bookmarkStart w:name="z323" w:id="99"/>
    <w:p>
      <w:pPr>
        <w:spacing w:after="0"/>
        <w:ind w:left="0"/>
        <w:jc w:val="both"/>
      </w:pPr>
      <w:r>
        <w:rPr>
          <w:rFonts w:ascii="Times New Roman"/>
          <w:b w:val="false"/>
          <w:i w:val="false"/>
          <w:color w:val="000000"/>
          <w:sz w:val="28"/>
        </w:rPr>
        <w:t>
      SР1 – требуемое количество незначительных нарушений;</w:t>
      </w:r>
    </w:p>
    <w:bookmarkEnd w:id="99"/>
    <w:bookmarkStart w:name="z324" w:id="100"/>
    <w:p>
      <w:pPr>
        <w:spacing w:after="0"/>
        <w:ind w:left="0"/>
        <w:jc w:val="both"/>
      </w:pPr>
      <w:r>
        <w:rPr>
          <w:rFonts w:ascii="Times New Roman"/>
          <w:b w:val="false"/>
          <w:i w:val="false"/>
          <w:color w:val="000000"/>
          <w:sz w:val="28"/>
        </w:rPr>
        <w:t>
      SР2 – количество выявленных незначительных нарушений.</w:t>
      </w:r>
    </w:p>
    <w:bookmarkEnd w:id="100"/>
    <w:bookmarkStart w:name="z325" w:id="101"/>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01"/>
    <w:bookmarkStart w:name="z326" w:id="102"/>
    <w:p>
      <w:pPr>
        <w:spacing w:after="0"/>
        <w:ind w:left="0"/>
        <w:jc w:val="both"/>
      </w:pPr>
      <w:r>
        <w:rPr>
          <w:rFonts w:ascii="Times New Roman"/>
          <w:b w:val="false"/>
          <w:i w:val="false"/>
          <w:color w:val="000000"/>
          <w:sz w:val="28"/>
        </w:rPr>
        <w:t>
      SР = SРз + SРн ,</w:t>
      </w:r>
    </w:p>
    <w:bookmarkEnd w:id="102"/>
    <w:bookmarkStart w:name="z327" w:id="103"/>
    <w:p>
      <w:pPr>
        <w:spacing w:after="0"/>
        <w:ind w:left="0"/>
        <w:jc w:val="both"/>
      </w:pPr>
      <w:r>
        <w:rPr>
          <w:rFonts w:ascii="Times New Roman"/>
          <w:b w:val="false"/>
          <w:i w:val="false"/>
          <w:color w:val="000000"/>
          <w:sz w:val="28"/>
        </w:rPr>
        <w:t>
      где:</w:t>
      </w:r>
    </w:p>
    <w:bookmarkEnd w:id="103"/>
    <w:bookmarkStart w:name="z328" w:id="104"/>
    <w:p>
      <w:pPr>
        <w:spacing w:after="0"/>
        <w:ind w:left="0"/>
        <w:jc w:val="both"/>
      </w:pPr>
      <w:r>
        <w:rPr>
          <w:rFonts w:ascii="Times New Roman"/>
          <w:b w:val="false"/>
          <w:i w:val="false"/>
          <w:color w:val="000000"/>
          <w:sz w:val="28"/>
        </w:rPr>
        <w:t>
      SР – показатель степени риска по нарушениям;</w:t>
      </w:r>
    </w:p>
    <w:bookmarkEnd w:id="104"/>
    <w:bookmarkStart w:name="z329" w:id="105"/>
    <w:p>
      <w:pPr>
        <w:spacing w:after="0"/>
        <w:ind w:left="0"/>
        <w:jc w:val="both"/>
      </w:pPr>
      <w:r>
        <w:rPr>
          <w:rFonts w:ascii="Times New Roman"/>
          <w:b w:val="false"/>
          <w:i w:val="false"/>
          <w:color w:val="000000"/>
          <w:sz w:val="28"/>
        </w:rPr>
        <w:t>
      SРз – показатель значительных нарушений;</w:t>
      </w:r>
    </w:p>
    <w:bookmarkEnd w:id="105"/>
    <w:bookmarkStart w:name="z330" w:id="106"/>
    <w:p>
      <w:pPr>
        <w:spacing w:after="0"/>
        <w:ind w:left="0"/>
        <w:jc w:val="both"/>
      </w:pPr>
      <w:r>
        <w:rPr>
          <w:rFonts w:ascii="Times New Roman"/>
          <w:b w:val="false"/>
          <w:i w:val="false"/>
          <w:color w:val="000000"/>
          <w:sz w:val="28"/>
        </w:rPr>
        <w:t>
      SРн – показатель незначительных нарушений.</w:t>
      </w:r>
    </w:p>
    <w:bookmarkEnd w:id="106"/>
    <w:bookmarkStart w:name="z331" w:id="107"/>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107"/>
    <w:bookmarkStart w:name="z332" w:id="108"/>
    <w:p>
      <w:pPr>
        <w:spacing w:after="0"/>
        <w:ind w:left="0"/>
        <w:jc w:val="both"/>
      </w:pPr>
      <w:r>
        <w:rPr>
          <w:rFonts w:ascii="Times New Roman"/>
          <w:b w:val="false"/>
          <w:i w:val="false"/>
          <w:color w:val="000000"/>
          <w:sz w:val="28"/>
        </w:rPr>
        <w:t xml:space="preserve">
      16.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субъективного критерия,</w:t>
      </w:r>
      <w:r>
        <w:br/>
      </w:r>
      <w:r>
        <w:rPr>
          <w:rFonts w:ascii="Times New Roman"/>
          <w:b w:val="false"/>
          <w:i w:val="false"/>
          <w:color w:val="000000"/>
          <w:sz w:val="28"/>
        </w:rPr>
        <w:t>
</w:t>
      </w:r>
    </w:p>
    <w:bookmarkStart w:name="z33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удельный вес показателя субъективного критерия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111"/>
    <w:p>
      <w:pPr>
        <w:spacing w:after="0"/>
        <w:ind w:left="0"/>
        <w:jc w:val="both"/>
      </w:pPr>
      <w:r>
        <w:rPr>
          <w:rFonts w:ascii="Times New Roman"/>
          <w:b w:val="false"/>
          <w:i w:val="false"/>
          <w:color w:val="000000"/>
          <w:sz w:val="28"/>
        </w:rPr>
        <w:t>
      n– количество показателей.</w:t>
      </w:r>
    </w:p>
    <w:bookmarkEnd w:id="111"/>
    <w:bookmarkStart w:name="z336" w:id="112"/>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12"/>
    <w:bookmarkStart w:name="z337" w:id="113"/>
    <w:p>
      <w:pPr>
        <w:spacing w:after="0"/>
        <w:ind w:left="0"/>
        <w:jc w:val="both"/>
      </w:pPr>
      <w:r>
        <w:rPr>
          <w:rFonts w:ascii="Times New Roman"/>
          <w:b w:val="false"/>
          <w:i w:val="false"/>
          <w:color w:val="000000"/>
          <w:sz w:val="28"/>
        </w:rPr>
        <w:t>
      17. Рассчитанные по субъектам (объектам) значения по показателю нормализуются в диапазоне от 0 до 100 баллов. Нормализация данных осуществляется по каждой выборочной совокупности (выборке) с использованием следующей формулы:</w:t>
      </w:r>
    </w:p>
    <w:bookmarkEnd w:id="113"/>
    <w:bookmarkStart w:name="z33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2082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115"/>
    <w:p>
      <w:pPr>
        <w:spacing w:after="0"/>
        <w:ind w:left="0"/>
        <w:jc w:val="both"/>
      </w:pPr>
      <w:r>
        <w:rPr>
          <w:rFonts w:ascii="Times New Roman"/>
          <w:b w:val="false"/>
          <w:i w:val="false"/>
          <w:color w:val="000000"/>
          <w:sz w:val="28"/>
        </w:rPr>
        <w:t>
      R– показатель степени риска (итоговый) по субъективным критериям отдельного субъекта (объекта) контроля,</w:t>
      </w:r>
    </w:p>
    <w:bookmarkEnd w:id="115"/>
    <w:bookmarkStart w:name="z340"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341"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342"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w:t>
      </w:r>
      <w:r>
        <w:br/>
      </w:r>
      <w:r>
        <w:rPr>
          <w:rFonts w:ascii="Times New Roman"/>
          <w:b w:val="false"/>
          <w:i w:val="false"/>
          <w:color w:val="000000"/>
          <w:sz w:val="28"/>
        </w:rPr>
        <w:t>
</w:t>
      </w:r>
    </w:p>
    <w:bookmarkStart w:name="z343" w:id="119"/>
    <w:p>
      <w:pPr>
        <w:spacing w:after="0"/>
        <w:ind w:left="0"/>
        <w:jc w:val="both"/>
      </w:pPr>
      <w:r>
        <w:rPr>
          <w:rFonts w:ascii="Times New Roman"/>
          <w:b w:val="false"/>
          <w:i w:val="false"/>
          <w:color w:val="000000"/>
          <w:sz w:val="28"/>
        </w:rPr>
        <w:t>
      18. Для сфер деятельности субъектов (объектов) контроля, отнесенных к высокой степени риска, проверка на соответствие требованиям проводится не чаще одного раза в год.</w:t>
      </w:r>
    </w:p>
    <w:bookmarkEnd w:id="119"/>
    <w:bookmarkStart w:name="z344" w:id="120"/>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проверка на соответствие требованиям проводится не чаще одного раза в два года.</w:t>
      </w:r>
    </w:p>
    <w:bookmarkEnd w:id="120"/>
    <w:bookmarkStart w:name="z345" w:id="121"/>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проверка на соответствие требованиям проводится не чаще одного раза в три года.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47" w:id="122"/>
    <w:p>
      <w:pPr>
        <w:spacing w:after="0"/>
        <w:ind w:left="0"/>
        <w:jc w:val="left"/>
      </w:pPr>
      <w:r>
        <w:rPr>
          <w:rFonts w:ascii="Times New Roman"/>
          <w:b/>
          <w:i w:val="false"/>
          <w:color w:val="000000"/>
        </w:rPr>
        <w:t xml:space="preserve"> Степени нарушений требований, предъявляемых к деятельности субъектов (объектов) контроля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разработке средств криптографической защиты информации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"Математика", "Физика", "Информатика",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"Системы информационной безопасности",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средств криптографической защиты информации не менее чем за пять рабочих дней до начала выполнения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самостоятельно (за счет собственных средств) разработанных средств криптографической защиты информации не более чем за пять рабочих дней после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технических средств:</w:t>
            </w:r>
          </w:p>
          <w:p>
            <w:pPr>
              <w:spacing w:after="20"/>
              <w:ind w:left="20"/>
              <w:jc w:val="both"/>
            </w:pPr>
            <w:r>
              <w:rPr>
                <w:rFonts w:ascii="Times New Roman"/>
                <w:b w:val="false"/>
                <w:i w:val="false"/>
                <w:color w:val="000000"/>
                <w:sz w:val="20"/>
              </w:rPr>
              <w:t>
1) нелинейный локатор (детектор нелинейных переходов);</w:t>
            </w:r>
          </w:p>
          <w:p>
            <w:pPr>
              <w:spacing w:after="20"/>
              <w:ind w:left="20"/>
              <w:jc w:val="both"/>
            </w:pPr>
            <w:r>
              <w:rPr>
                <w:rFonts w:ascii="Times New Roman"/>
                <w:b w:val="false"/>
                <w:i w:val="false"/>
                <w:color w:val="000000"/>
                <w:sz w:val="20"/>
              </w:rPr>
              <w:t>
2) многофункциональный поисковый прибор;</w:t>
            </w:r>
          </w:p>
          <w:p>
            <w:pPr>
              <w:spacing w:after="20"/>
              <w:ind w:left="20"/>
              <w:jc w:val="both"/>
            </w:pPr>
            <w:r>
              <w:rPr>
                <w:rFonts w:ascii="Times New Roman"/>
                <w:b w:val="false"/>
                <w:i w:val="false"/>
                <w:color w:val="000000"/>
                <w:sz w:val="20"/>
              </w:rPr>
              <w:t>
3) мобильный/стационарный комплекс радиомониторинга или сканирующее радиоприемное устройство;</w:t>
            </w:r>
          </w:p>
          <w:p>
            <w:pPr>
              <w:spacing w:after="20"/>
              <w:ind w:left="20"/>
              <w:jc w:val="both"/>
            </w:pPr>
            <w:r>
              <w:rPr>
                <w:rFonts w:ascii="Times New Roman"/>
                <w:b w:val="false"/>
                <w:i w:val="false"/>
                <w:color w:val="000000"/>
                <w:sz w:val="20"/>
              </w:rPr>
              <w:t>
4) радиопеленгатор носимый;</w:t>
            </w:r>
          </w:p>
          <w:p>
            <w:pPr>
              <w:spacing w:after="20"/>
              <w:ind w:left="20"/>
              <w:jc w:val="both"/>
            </w:pPr>
            <w:r>
              <w:rPr>
                <w:rFonts w:ascii="Times New Roman"/>
                <w:b w:val="false"/>
                <w:i w:val="false"/>
                <w:color w:val="000000"/>
                <w:sz w:val="20"/>
              </w:rPr>
              <w:t>
5) обнаружитель скрытых видеокамер;</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досмотровый комплект зеркал или эндоскоп;</w:t>
            </w:r>
          </w:p>
          <w:p>
            <w:pPr>
              <w:spacing w:after="20"/>
              <w:ind w:left="20"/>
              <w:jc w:val="both"/>
            </w:pPr>
            <w:r>
              <w:rPr>
                <w:rFonts w:ascii="Times New Roman"/>
                <w:b w:val="false"/>
                <w:i w:val="false"/>
                <w:color w:val="000000"/>
                <w:sz w:val="20"/>
              </w:rPr>
              <w:t>
8) анализатор проводных линий;</w:t>
            </w:r>
          </w:p>
          <w:p>
            <w:pPr>
              <w:spacing w:after="20"/>
              <w:ind w:left="20"/>
              <w:jc w:val="both"/>
            </w:pPr>
            <w:r>
              <w:rPr>
                <w:rFonts w:ascii="Times New Roman"/>
                <w:b w:val="false"/>
                <w:i w:val="false"/>
                <w:color w:val="000000"/>
                <w:sz w:val="20"/>
              </w:rPr>
              <w:t>
9) тепловизор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разработанной и утвержденной лицензиатом по согласованию с лицензиаром: </w:t>
            </w:r>
          </w:p>
          <w:p>
            <w:pPr>
              <w:spacing w:after="20"/>
              <w:ind w:left="20"/>
              <w:jc w:val="both"/>
            </w:pPr>
            <w:r>
              <w:rPr>
                <w:rFonts w:ascii="Times New Roman"/>
                <w:b w:val="false"/>
                <w:i w:val="false"/>
                <w:color w:val="000000"/>
                <w:sz w:val="20"/>
              </w:rPr>
              <w:t>
1) методики проведения работ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помещениях и технических средствах;</w:t>
            </w:r>
          </w:p>
          <w:p>
            <w:pPr>
              <w:spacing w:after="20"/>
              <w:ind w:left="20"/>
              <w:jc w:val="both"/>
            </w:pPr>
            <w:r>
              <w:rPr>
                <w:rFonts w:ascii="Times New Roman"/>
                <w:b w:val="false"/>
                <w:i w:val="false"/>
                <w:color w:val="000000"/>
                <w:sz w:val="20"/>
              </w:rPr>
              <w:t>
2) методики оценки эффективности защищенности помещений и технических средств от утечки информации по техническим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поисковых технических средств третьим лицам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методик третьим лицам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выявленных в ходе оказания услуг специальных технических средствах, предназначенных для проведения оперативно-розыскных мероприятий, в течение трех рабочих дней после факта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p>
            <w:pPr>
              <w:spacing w:after="20"/>
              <w:ind w:left="20"/>
              <w:jc w:val="both"/>
            </w:pPr>
            <w:r>
              <w:rPr>
                <w:rFonts w:ascii="Times New Roman"/>
                <w:b w:val="false"/>
                <w:i w:val="false"/>
                <w:color w:val="000000"/>
                <w:sz w:val="20"/>
              </w:rPr>
              <w:t>
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p>
            <w:pPr>
              <w:spacing w:after="20"/>
              <w:ind w:left="20"/>
              <w:jc w:val="both"/>
            </w:pPr>
            <w:r>
              <w:rPr>
                <w:rFonts w:ascii="Times New Roman"/>
                <w:b w:val="false"/>
                <w:i w:val="false"/>
                <w:color w:val="000000"/>
                <w:sz w:val="20"/>
              </w:rPr>
              <w:t>
6) не менее двух специалистов по направлению администрирования серверных операционных систем (например, Red Hat Certified System Administrator, Microsoft Certified Solutions Associate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средств:</w:t>
            </w:r>
          </w:p>
          <w:p>
            <w:pPr>
              <w:spacing w:after="20"/>
              <w:ind w:left="20"/>
              <w:jc w:val="both"/>
            </w:pPr>
            <w:r>
              <w:rPr>
                <w:rFonts w:ascii="Times New Roman"/>
                <w:b w:val="false"/>
                <w:i w:val="false"/>
                <w:color w:val="000000"/>
                <w:sz w:val="20"/>
              </w:rPr>
              <w:t>
1) решение класса next-generation firewall или unified threat management;</w:t>
            </w:r>
          </w:p>
          <w:p>
            <w:pPr>
              <w:spacing w:after="20"/>
              <w:ind w:left="20"/>
              <w:jc w:val="both"/>
            </w:pPr>
            <w:r>
              <w:rPr>
                <w:rFonts w:ascii="Times New Roman"/>
                <w:b w:val="false"/>
                <w:i w:val="false"/>
                <w:color w:val="000000"/>
                <w:sz w:val="20"/>
              </w:rPr>
              <w:t>
2) система обнаружения угроз на рабочих станциях и реагирования на них (Endpoint Threat Detection and Response);</w:t>
            </w:r>
          </w:p>
          <w:p>
            <w:pPr>
              <w:spacing w:after="20"/>
              <w:ind w:left="20"/>
              <w:jc w:val="both"/>
            </w:pPr>
            <w:r>
              <w:rPr>
                <w:rFonts w:ascii="Times New Roman"/>
                <w:b w:val="false"/>
                <w:i w:val="false"/>
                <w:color w:val="000000"/>
                <w:sz w:val="20"/>
              </w:rPr>
              <w:t>
3) средство проактивного поиска и обнаружения угроз (Threat Hunting);</w:t>
            </w:r>
          </w:p>
          <w:p>
            <w:pPr>
              <w:spacing w:after="20"/>
              <w:ind w:left="20"/>
              <w:jc w:val="both"/>
            </w:pPr>
            <w:r>
              <w:rPr>
                <w:rFonts w:ascii="Times New Roman"/>
                <w:b w:val="false"/>
                <w:i w:val="false"/>
                <w:color w:val="000000"/>
                <w:sz w:val="20"/>
              </w:rPr>
              <w:t>
4) средство предотвращения утечки информации (DLP);</w:t>
            </w:r>
          </w:p>
          <w:p>
            <w:pPr>
              <w:spacing w:after="20"/>
              <w:ind w:left="20"/>
              <w:jc w:val="both"/>
            </w:pPr>
            <w:r>
              <w:rPr>
                <w:rFonts w:ascii="Times New Roman"/>
                <w:b w:val="false"/>
                <w:i w:val="false"/>
                <w:color w:val="000000"/>
                <w:sz w:val="20"/>
              </w:rPr>
              <w:t>
5) система управления событиями информационной безопасности (SIEM);</w:t>
            </w:r>
          </w:p>
          <w:p>
            <w:pPr>
              <w:spacing w:after="20"/>
              <w:ind w:left="20"/>
              <w:jc w:val="both"/>
            </w:pPr>
            <w:r>
              <w:rPr>
                <w:rFonts w:ascii="Times New Roman"/>
                <w:b w:val="false"/>
                <w:i w:val="false"/>
                <w:color w:val="000000"/>
                <w:sz w:val="20"/>
              </w:rPr>
              <w:t>
6) платформа реагирования на инциденты (IRP);</w:t>
            </w:r>
          </w:p>
          <w:p>
            <w:pPr>
              <w:spacing w:after="20"/>
              <w:ind w:left="20"/>
              <w:jc w:val="both"/>
            </w:pPr>
            <w:r>
              <w:rPr>
                <w:rFonts w:ascii="Times New Roman"/>
                <w:b w:val="false"/>
                <w:i w:val="false"/>
                <w:color w:val="000000"/>
                <w:sz w:val="20"/>
              </w:rPr>
              <w:t>
7) платформа управления информацией об угрозах (Threat Intelligence Platform);</w:t>
            </w:r>
          </w:p>
          <w:p>
            <w:pPr>
              <w:spacing w:after="20"/>
              <w:ind w:left="20"/>
              <w:jc w:val="both"/>
            </w:pPr>
            <w:r>
              <w:rPr>
                <w:rFonts w:ascii="Times New Roman"/>
                <w:b w:val="false"/>
                <w:i w:val="false"/>
                <w:color w:val="000000"/>
                <w:sz w:val="20"/>
              </w:rPr>
              <w:t>
8) средство динамического анализа вредоносных программ типа "песочница";</w:t>
            </w:r>
          </w:p>
          <w:p>
            <w:pPr>
              <w:spacing w:after="20"/>
              <w:ind w:left="20"/>
              <w:jc w:val="both"/>
            </w:pPr>
            <w:r>
              <w:rPr>
                <w:rFonts w:ascii="Times New Roman"/>
                <w:b w:val="false"/>
                <w:i w:val="false"/>
                <w:color w:val="000000"/>
                <w:sz w:val="20"/>
              </w:rPr>
              <w:t>
9) сетевой сканер;</w:t>
            </w:r>
          </w:p>
          <w:p>
            <w:pPr>
              <w:spacing w:after="20"/>
              <w:ind w:left="20"/>
              <w:jc w:val="both"/>
            </w:pPr>
            <w:r>
              <w:rPr>
                <w:rFonts w:ascii="Times New Roman"/>
                <w:b w:val="false"/>
                <w:i w:val="false"/>
                <w:color w:val="000000"/>
                <w:sz w:val="20"/>
              </w:rPr>
              <w:t>
10) сканер уязвимостей;</w:t>
            </w:r>
          </w:p>
          <w:p>
            <w:pPr>
              <w:spacing w:after="20"/>
              <w:ind w:left="20"/>
              <w:jc w:val="both"/>
            </w:pPr>
            <w:r>
              <w:rPr>
                <w:rFonts w:ascii="Times New Roman"/>
                <w:b w:val="false"/>
                <w:i w:val="false"/>
                <w:color w:val="000000"/>
                <w:sz w:val="20"/>
              </w:rPr>
              <w:t>
11) сканер уязвимостей веб-приложений;</w:t>
            </w:r>
          </w:p>
          <w:p>
            <w:pPr>
              <w:spacing w:after="20"/>
              <w:ind w:left="20"/>
              <w:jc w:val="both"/>
            </w:pPr>
            <w:r>
              <w:rPr>
                <w:rFonts w:ascii="Times New Roman"/>
                <w:b w:val="false"/>
                <w:i w:val="false"/>
                <w:color w:val="000000"/>
                <w:sz w:val="20"/>
              </w:rPr>
              <w:t>
12) средство эксплуатации уязвимостей;</w:t>
            </w:r>
          </w:p>
          <w:p>
            <w:pPr>
              <w:spacing w:after="20"/>
              <w:ind w:left="20"/>
              <w:jc w:val="both"/>
            </w:pPr>
            <w:r>
              <w:rPr>
                <w:rFonts w:ascii="Times New Roman"/>
                <w:b w:val="false"/>
                <w:i w:val="false"/>
                <w:color w:val="000000"/>
                <w:sz w:val="20"/>
              </w:rPr>
              <w:t>
13) внешний Wi-Fi адаптер с направленной антенной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при условии:</w:t>
            </w:r>
          </w:p>
          <w:p>
            <w:pPr>
              <w:spacing w:after="20"/>
              <w:ind w:left="20"/>
              <w:jc w:val="both"/>
            </w:pPr>
            <w:r>
              <w:rPr>
                <w:rFonts w:ascii="Times New Roman"/>
                <w:b w:val="false"/>
                <w:i w:val="false"/>
                <w:color w:val="000000"/>
                <w:sz w:val="20"/>
              </w:rPr>
              <w:t>
1) наличия разработанной и утвержденной лицензиатом по согласованию с лицензиаром методики оказания услуг по выявлению технических каналов утечки информации и специальных технических средств оперативным центром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p>
            <w:pPr>
              <w:spacing w:after="20"/>
              <w:ind w:left="20"/>
              <w:jc w:val="both"/>
            </w:pPr>
            <w:r>
              <w:rPr>
                <w:rFonts w:ascii="Times New Roman"/>
                <w:b w:val="false"/>
                <w:i w:val="false"/>
                <w:color w:val="000000"/>
                <w:sz w:val="20"/>
              </w:rPr>
              <w:t>
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средств:</w:t>
            </w:r>
          </w:p>
          <w:p>
            <w:pPr>
              <w:spacing w:after="20"/>
              <w:ind w:left="20"/>
              <w:jc w:val="both"/>
            </w:pPr>
            <w:r>
              <w:rPr>
                <w:rFonts w:ascii="Times New Roman"/>
                <w:b w:val="false"/>
                <w:i w:val="false"/>
                <w:color w:val="000000"/>
                <w:sz w:val="20"/>
              </w:rPr>
              <w:t>
1) платформа реагирования на инциденты (IRP);</w:t>
            </w:r>
          </w:p>
          <w:p>
            <w:pPr>
              <w:spacing w:after="20"/>
              <w:ind w:left="20"/>
              <w:jc w:val="both"/>
            </w:pPr>
            <w:r>
              <w:rPr>
                <w:rFonts w:ascii="Times New Roman"/>
                <w:b w:val="false"/>
                <w:i w:val="false"/>
                <w:color w:val="000000"/>
                <w:sz w:val="20"/>
              </w:rPr>
              <w:t>
2) платформа управления информацией об угрозах (Threat Intelligence Platform);</w:t>
            </w:r>
          </w:p>
          <w:p>
            <w:pPr>
              <w:spacing w:after="20"/>
              <w:ind w:left="20"/>
              <w:jc w:val="both"/>
            </w:pPr>
            <w:r>
              <w:rPr>
                <w:rFonts w:ascii="Times New Roman"/>
                <w:b w:val="false"/>
                <w:i w:val="false"/>
                <w:color w:val="000000"/>
                <w:sz w:val="20"/>
              </w:rPr>
              <w:t>
3) Средство статического анализа вредоносных программ;</w:t>
            </w:r>
          </w:p>
          <w:p>
            <w:pPr>
              <w:spacing w:after="20"/>
              <w:ind w:left="20"/>
              <w:jc w:val="both"/>
            </w:pPr>
            <w:r>
              <w:rPr>
                <w:rFonts w:ascii="Times New Roman"/>
                <w:b w:val="false"/>
                <w:i w:val="false"/>
                <w:color w:val="000000"/>
                <w:sz w:val="20"/>
              </w:rPr>
              <w:t>
4) Средство динамического анализа вредоносных программ типа "песочница"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при условии:</w:t>
            </w:r>
          </w:p>
          <w:p>
            <w:pPr>
              <w:spacing w:after="20"/>
              <w:ind w:left="20"/>
              <w:jc w:val="both"/>
            </w:pPr>
            <w:r>
              <w:rPr>
                <w:rFonts w:ascii="Times New Roman"/>
                <w:b w:val="false"/>
                <w:i w:val="false"/>
                <w:color w:val="000000"/>
                <w:sz w:val="20"/>
              </w:rPr>
              <w:t>
1)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разработке, производству, ремонту и реализации специальных технических средств, предназначенных для проведения оперативно-розыскных мероприятий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деятельности по разработке и производству специальных технических средств, предназначенных для проведения оперативно-розыскных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частотомер;</w:t>
            </w:r>
          </w:p>
          <w:p>
            <w:pPr>
              <w:spacing w:after="20"/>
              <w:ind w:left="20"/>
              <w:jc w:val="both"/>
            </w:pPr>
            <w:r>
              <w:rPr>
                <w:rFonts w:ascii="Times New Roman"/>
                <w:b w:val="false"/>
                <w:i w:val="false"/>
                <w:color w:val="000000"/>
                <w:sz w:val="20"/>
              </w:rPr>
              <w:t>
6) генератор сигналов высокочастотный;</w:t>
            </w:r>
          </w:p>
          <w:p>
            <w:pPr>
              <w:spacing w:after="20"/>
              <w:ind w:left="20"/>
              <w:jc w:val="both"/>
            </w:pPr>
            <w:r>
              <w:rPr>
                <w:rFonts w:ascii="Times New Roman"/>
                <w:b w:val="false"/>
                <w:i w:val="false"/>
                <w:color w:val="000000"/>
                <w:sz w:val="20"/>
              </w:rPr>
              <w:t>
7) генератор сигналов низкочастотный;</w:t>
            </w:r>
          </w:p>
          <w:p>
            <w:pPr>
              <w:spacing w:after="20"/>
              <w:ind w:left="20"/>
              <w:jc w:val="both"/>
            </w:pPr>
            <w:r>
              <w:rPr>
                <w:rFonts w:ascii="Times New Roman"/>
                <w:b w:val="false"/>
                <w:i w:val="false"/>
                <w:color w:val="000000"/>
                <w:sz w:val="20"/>
              </w:rPr>
              <w:t>
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10) индикатор поля;</w:t>
            </w:r>
          </w:p>
          <w:p>
            <w:pPr>
              <w:spacing w:after="20"/>
              <w:ind w:left="20"/>
              <w:jc w:val="both"/>
            </w:pPr>
            <w:r>
              <w:rPr>
                <w:rFonts w:ascii="Times New Roman"/>
                <w:b w:val="false"/>
                <w:i w:val="false"/>
                <w:color w:val="000000"/>
                <w:sz w:val="20"/>
              </w:rPr>
              <w:t>
11) паяльная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производственного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хранения разрабатываемых и произведенных специальных технических средств, предназначенных для проведения оперативно-розыскных мероприятий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w:t>
            </w:r>
          </w:p>
          <w:p>
            <w:pPr>
              <w:spacing w:after="20"/>
              <w:ind w:left="20"/>
              <w:jc w:val="both"/>
            </w:pPr>
            <w:r>
              <w:rPr>
                <w:rFonts w:ascii="Times New Roman"/>
                <w:b w:val="false"/>
                <w:i w:val="false"/>
                <w:color w:val="000000"/>
                <w:sz w:val="20"/>
              </w:rPr>
              <w:t>
1) металлическими решетками на окнах (в случае, если помещение находится на первом или последнем этажах);</w:t>
            </w:r>
          </w:p>
          <w:p>
            <w:pPr>
              <w:spacing w:after="20"/>
              <w:ind w:left="20"/>
              <w:jc w:val="both"/>
            </w:pPr>
            <w:r>
              <w:rPr>
                <w:rFonts w:ascii="Times New Roman"/>
                <w:b w:val="false"/>
                <w:i w:val="false"/>
                <w:color w:val="000000"/>
                <w:sz w:val="20"/>
              </w:rPr>
              <w:t>
2) автоматическими системами охранной и пожарной сигнализации;</w:t>
            </w:r>
          </w:p>
          <w:p>
            <w:pPr>
              <w:spacing w:after="20"/>
              <w:ind w:left="20"/>
              <w:jc w:val="both"/>
            </w:pPr>
            <w:r>
              <w:rPr>
                <w:rFonts w:ascii="Times New Roman"/>
                <w:b w:val="false"/>
                <w:i w:val="false"/>
                <w:color w:val="000000"/>
                <w:sz w:val="20"/>
              </w:rPr>
              <w:t>
3) металлическими опечатываемыми дверями с запирающим устройством;</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разработки специальных технических средств, предназначенных для проведения оперативно-розыскных мероприятий, на условиях:</w:t>
            </w:r>
          </w:p>
          <w:p>
            <w:pPr>
              <w:spacing w:after="20"/>
              <w:ind w:left="20"/>
              <w:jc w:val="both"/>
            </w:pPr>
            <w:r>
              <w:rPr>
                <w:rFonts w:ascii="Times New Roman"/>
                <w:b w:val="false"/>
                <w:i w:val="false"/>
                <w:color w:val="000000"/>
                <w:sz w:val="20"/>
              </w:rPr>
              <w:t>
1) наличия технического задания на разработку специальных технических средств, предназначенных для проведения оперативно-розыскных мероприятий, утвержденного органом, осуществляющим оперативно-розыскную деятельность, и согласованного с лицензиаром;</w:t>
            </w:r>
          </w:p>
          <w:p>
            <w:pPr>
              <w:spacing w:after="20"/>
              <w:ind w:left="20"/>
              <w:jc w:val="both"/>
            </w:pPr>
            <w:r>
              <w:rPr>
                <w:rFonts w:ascii="Times New Roman"/>
                <w:b w:val="false"/>
                <w:i w:val="false"/>
                <w:color w:val="000000"/>
                <w:sz w:val="20"/>
              </w:rPr>
              <w:t>
2) предоставление лицензиару опытного образца разработанного специальных технических средств, предназначенного для проведения оперативно-розыскных мероприятий, для проведения его научно-технической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производства специальных технических средств, предназначенных для проведения оперативно-розыскных мероприятий, на условиях:</w:t>
            </w:r>
          </w:p>
          <w:p>
            <w:pPr>
              <w:spacing w:after="20"/>
              <w:ind w:left="20"/>
              <w:jc w:val="both"/>
            </w:pPr>
            <w:r>
              <w:rPr>
                <w:rFonts w:ascii="Times New Roman"/>
                <w:b w:val="false"/>
                <w:i w:val="false"/>
                <w:color w:val="000000"/>
                <w:sz w:val="20"/>
              </w:rPr>
              <w:t>
1) наличия конструкторской документации на производимое специальное техническое средство, предназначенное для проведения оперативно-розыскных мероприятий, утвержденной органом, осуществляющим оперативно-розыскную деятельность, и согласованной с лицензиаром;</w:t>
            </w:r>
          </w:p>
          <w:p>
            <w:pPr>
              <w:spacing w:after="20"/>
              <w:ind w:left="20"/>
              <w:jc w:val="both"/>
            </w:pPr>
            <w:r>
              <w:rPr>
                <w:rFonts w:ascii="Times New Roman"/>
                <w:b w:val="false"/>
                <w:i w:val="false"/>
                <w:color w:val="000000"/>
                <w:sz w:val="20"/>
              </w:rPr>
              <w:t>
2) наличие положительного заключения лицензиара по итогам проведения научно-технической экспертизы опытного образца специального технического средства, предназначенного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производство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деятельности по ремонту и реализации специальных технических средств, предназначенных для проведения оперативно-розыскных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частотомер;</w:t>
            </w:r>
          </w:p>
          <w:p>
            <w:pPr>
              <w:spacing w:after="20"/>
              <w:ind w:left="20"/>
              <w:jc w:val="both"/>
            </w:pPr>
            <w:r>
              <w:rPr>
                <w:rFonts w:ascii="Times New Roman"/>
                <w:b w:val="false"/>
                <w:i w:val="false"/>
                <w:color w:val="000000"/>
                <w:sz w:val="20"/>
              </w:rPr>
              <w:t>
6) генератор сигналов высокочастотный;</w:t>
            </w:r>
          </w:p>
          <w:p>
            <w:pPr>
              <w:spacing w:after="20"/>
              <w:ind w:left="20"/>
              <w:jc w:val="both"/>
            </w:pPr>
            <w:r>
              <w:rPr>
                <w:rFonts w:ascii="Times New Roman"/>
                <w:b w:val="false"/>
                <w:i w:val="false"/>
                <w:color w:val="000000"/>
                <w:sz w:val="20"/>
              </w:rPr>
              <w:t>
7) генератор сигналов низкочастотный;</w:t>
            </w:r>
          </w:p>
          <w:p>
            <w:pPr>
              <w:spacing w:after="20"/>
              <w:ind w:left="20"/>
              <w:jc w:val="both"/>
            </w:pPr>
            <w:r>
              <w:rPr>
                <w:rFonts w:ascii="Times New Roman"/>
                <w:b w:val="false"/>
                <w:i w:val="false"/>
                <w:color w:val="000000"/>
                <w:sz w:val="20"/>
              </w:rPr>
              <w:t>
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10) индикатор поля;</w:t>
            </w:r>
          </w:p>
          <w:p>
            <w:pPr>
              <w:spacing w:after="20"/>
              <w:ind w:left="20"/>
              <w:jc w:val="both"/>
            </w:pPr>
            <w:r>
              <w:rPr>
                <w:rFonts w:ascii="Times New Roman"/>
                <w:b w:val="false"/>
                <w:i w:val="false"/>
                <w:color w:val="000000"/>
                <w:sz w:val="20"/>
              </w:rPr>
              <w:t>
11) паяльная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реализуемых или ремонтируемых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приобретение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 на реализацию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ремонт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49" w:id="123"/>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средств криптографической защиты информации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51" w:id="124"/>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53" w:id="125"/>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55" w:id="126"/>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57" w:id="127"/>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одно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полугодия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359" w:id="128"/>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ремонту и реализации специальных технических средств, предназначенных для проведения оперативно-розыскных мероприятий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60" w:id="129"/>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средств криптографической защиты информации</w:t>
      </w:r>
    </w:p>
    <w:bookmarkEnd w:id="129"/>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61" w:id="130"/>
      <w:r>
        <w:rPr>
          <w:rFonts w:ascii="Times New Roman"/>
          <w:b w:val="false"/>
          <w:i w:val="false"/>
          <w:color w:val="000000"/>
          <w:sz w:val="28"/>
        </w:rPr>
        <w:t>
      Государственный орган, назначивший проверку</w:t>
      </w:r>
    </w:p>
    <w:bookmarkEnd w:id="1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"Математика", "Физика", "Информатика",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"Системы информационной безопасности",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средств криптографической защиты информации не менее чем за пять рабочих дней до начала выполнения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самостоятельно (за счет собственных средств) разработанных средств криптографической защиты информации не более чем за пять рабочих дней после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131"/>
      <w:r>
        <w:rPr>
          <w:rFonts w:ascii="Times New Roman"/>
          <w:b w:val="false"/>
          <w:i w:val="false"/>
          <w:color w:val="000000"/>
          <w:sz w:val="28"/>
        </w:rPr>
        <w:t>
      Должностное(-ые) лицо(-а) _____________ ________________</w:t>
      </w:r>
    </w:p>
    <w:bookmarkEnd w:id="131"/>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63" w:id="132"/>
      <w:r>
        <w:rPr>
          <w:rFonts w:ascii="Times New Roman"/>
          <w:b w:val="false"/>
          <w:i w:val="false"/>
          <w:color w:val="000000"/>
          <w:sz w:val="28"/>
        </w:rPr>
        <w:t>
      Руководитель субъекта контроля _______________ ________________</w:t>
      </w:r>
    </w:p>
    <w:bookmarkEnd w:id="132"/>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39" w:id="13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33"/>
    <w:p>
      <w:pPr>
        <w:spacing w:after="0"/>
        <w:ind w:left="0"/>
        <w:jc w:val="both"/>
      </w:pPr>
      <w:r>
        <w:rPr>
          <w:rFonts w:ascii="Times New Roman"/>
          <w:b w:val="false"/>
          <w:i w:val="false"/>
          <w:color w:val="ff0000"/>
          <w:sz w:val="28"/>
        </w:rPr>
        <w:t xml:space="preserve">
      Сноска. Приказ дополнен приложением 3 в соответствии с совместным приказом Председателя Комитета национальной безопасности РК от 30.11.2018 </w:t>
      </w:r>
      <w:r>
        <w:rPr>
          <w:rFonts w:ascii="Times New Roman"/>
          <w:b w:val="false"/>
          <w:i w:val="false"/>
          <w:color w:val="ff0000"/>
          <w:sz w:val="28"/>
        </w:rPr>
        <w:t>№ 97/қе</w:t>
      </w:r>
      <w:r>
        <w:rPr>
          <w:rFonts w:ascii="Times New Roman"/>
          <w:b w:val="false"/>
          <w:i w:val="false"/>
          <w:color w:val="ff0000"/>
          <w:sz w:val="28"/>
        </w:rPr>
        <w:t xml:space="preserve"> и Министра национальной экономики РК от 04.12.2018 № 94 (вводится в действие по истечении двадцати одного календарного дня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64" w:id="134"/>
      <w:r>
        <w:rPr>
          <w:rFonts w:ascii="Times New Roman"/>
          <w:b w:val="false"/>
          <w:i w:val="false"/>
          <w:color w:val="000000"/>
          <w:sz w:val="28"/>
        </w:rPr>
        <w:t>
      Государственный орган, назначивший проверку</w:t>
      </w:r>
    </w:p>
    <w:bookmarkEnd w:id="13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w:t>
            </w:r>
          </w:p>
          <w:p>
            <w:pPr>
              <w:spacing w:after="20"/>
              <w:ind w:left="20"/>
              <w:jc w:val="both"/>
            </w:pPr>
            <w:r>
              <w:rPr>
                <w:rFonts w:ascii="Times New Roman"/>
                <w:b w:val="false"/>
                <w:i w:val="false"/>
                <w:color w:val="000000"/>
                <w:sz w:val="20"/>
              </w:rPr>
              <w:t>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технических средств:</w:t>
            </w:r>
          </w:p>
          <w:p>
            <w:pPr>
              <w:spacing w:after="20"/>
              <w:ind w:left="20"/>
              <w:jc w:val="both"/>
            </w:pPr>
            <w:r>
              <w:rPr>
                <w:rFonts w:ascii="Times New Roman"/>
                <w:b w:val="false"/>
                <w:i w:val="false"/>
                <w:color w:val="000000"/>
                <w:sz w:val="20"/>
              </w:rPr>
              <w:t>
1) нелинейный локатор (детектор нелинейных переходов);</w:t>
            </w:r>
          </w:p>
          <w:p>
            <w:pPr>
              <w:spacing w:after="20"/>
              <w:ind w:left="20"/>
              <w:jc w:val="both"/>
            </w:pPr>
            <w:r>
              <w:rPr>
                <w:rFonts w:ascii="Times New Roman"/>
                <w:b w:val="false"/>
                <w:i w:val="false"/>
                <w:color w:val="000000"/>
                <w:sz w:val="20"/>
              </w:rPr>
              <w:t>
2) многофункциональный поисковый прибор;</w:t>
            </w:r>
          </w:p>
          <w:p>
            <w:pPr>
              <w:spacing w:after="20"/>
              <w:ind w:left="20"/>
              <w:jc w:val="both"/>
            </w:pPr>
            <w:r>
              <w:rPr>
                <w:rFonts w:ascii="Times New Roman"/>
                <w:b w:val="false"/>
                <w:i w:val="false"/>
                <w:color w:val="000000"/>
                <w:sz w:val="20"/>
              </w:rPr>
              <w:t>
3) мобильный/стационарный комплекс радиомониторинга или сканирующее радиоприемное устройство;</w:t>
            </w:r>
          </w:p>
          <w:p>
            <w:pPr>
              <w:spacing w:after="20"/>
              <w:ind w:left="20"/>
              <w:jc w:val="both"/>
            </w:pPr>
            <w:r>
              <w:rPr>
                <w:rFonts w:ascii="Times New Roman"/>
                <w:b w:val="false"/>
                <w:i w:val="false"/>
                <w:color w:val="000000"/>
                <w:sz w:val="20"/>
              </w:rPr>
              <w:t>
4) радиопеленгатор носимый;</w:t>
            </w:r>
          </w:p>
          <w:p>
            <w:pPr>
              <w:spacing w:after="20"/>
              <w:ind w:left="20"/>
              <w:jc w:val="both"/>
            </w:pPr>
            <w:r>
              <w:rPr>
                <w:rFonts w:ascii="Times New Roman"/>
                <w:b w:val="false"/>
                <w:i w:val="false"/>
                <w:color w:val="000000"/>
                <w:sz w:val="20"/>
              </w:rPr>
              <w:t>
5) обнаружитель скрытых видеокамер;</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досмотровый комплект зеркал или эндоскоп;</w:t>
            </w:r>
          </w:p>
          <w:p>
            <w:pPr>
              <w:spacing w:after="20"/>
              <w:ind w:left="20"/>
              <w:jc w:val="both"/>
            </w:pPr>
            <w:r>
              <w:rPr>
                <w:rFonts w:ascii="Times New Roman"/>
                <w:b w:val="false"/>
                <w:i w:val="false"/>
                <w:color w:val="000000"/>
                <w:sz w:val="20"/>
              </w:rPr>
              <w:t>
8) анализатор проводных линий;</w:t>
            </w:r>
          </w:p>
          <w:p>
            <w:pPr>
              <w:spacing w:after="20"/>
              <w:ind w:left="20"/>
              <w:jc w:val="both"/>
            </w:pPr>
            <w:r>
              <w:rPr>
                <w:rFonts w:ascii="Times New Roman"/>
                <w:b w:val="false"/>
                <w:i w:val="false"/>
                <w:color w:val="000000"/>
                <w:sz w:val="20"/>
              </w:rPr>
              <w:t>
9) тепловизор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разработанной и утвержденной лицензиатом по согласованию с лицензиаром: </w:t>
            </w:r>
          </w:p>
          <w:p>
            <w:pPr>
              <w:spacing w:after="20"/>
              <w:ind w:left="20"/>
              <w:jc w:val="both"/>
            </w:pPr>
            <w:r>
              <w:rPr>
                <w:rFonts w:ascii="Times New Roman"/>
                <w:b w:val="false"/>
                <w:i w:val="false"/>
                <w:color w:val="000000"/>
                <w:sz w:val="20"/>
              </w:rPr>
              <w:t>
1) методики проведения работ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помещениях и технических средствах;</w:t>
            </w:r>
          </w:p>
          <w:p>
            <w:pPr>
              <w:spacing w:after="20"/>
              <w:ind w:left="20"/>
              <w:jc w:val="both"/>
            </w:pPr>
            <w:r>
              <w:rPr>
                <w:rFonts w:ascii="Times New Roman"/>
                <w:b w:val="false"/>
                <w:i w:val="false"/>
                <w:color w:val="000000"/>
                <w:sz w:val="20"/>
              </w:rPr>
              <w:t>
2) методики оценки эффективности защищенности помещений и технических средств от утечки информации по техническим каналам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поисковых технических средств третьим лицам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разработанной методики третьим лицам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выявленных в ходе оказания услуг специальных технических средствах, предназначенных для проведения оперативно-розыскных мероприятий, в течение трех рабочих дней после факта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 w:id="135"/>
      <w:r>
        <w:rPr>
          <w:rFonts w:ascii="Times New Roman"/>
          <w:b w:val="false"/>
          <w:i w:val="false"/>
          <w:color w:val="000000"/>
          <w:sz w:val="28"/>
        </w:rPr>
        <w:t>
      Должностное(-ые) лицо(-а) _____________ ________________</w:t>
      </w:r>
    </w:p>
    <w:bookmarkEnd w:id="135"/>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66" w:id="136"/>
      <w:r>
        <w:rPr>
          <w:rFonts w:ascii="Times New Roman"/>
          <w:b w:val="false"/>
          <w:i w:val="false"/>
          <w:color w:val="000000"/>
          <w:sz w:val="28"/>
        </w:rPr>
        <w:t>
      Руководитель субъекта контроля _______________ ________________</w:t>
      </w:r>
    </w:p>
    <w:bookmarkEnd w:id="136"/>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67" w:id="13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w:t>
      </w:r>
    </w:p>
    <w:bookmarkEnd w:id="137"/>
    <w:p>
      <w:pPr>
        <w:spacing w:after="0"/>
        <w:ind w:left="0"/>
        <w:jc w:val="both"/>
      </w:pPr>
      <w:r>
        <w:rPr>
          <w:rFonts w:ascii="Times New Roman"/>
          <w:b w:val="false"/>
          <w:i w:val="false"/>
          <w:color w:val="ff0000"/>
          <w:sz w:val="28"/>
        </w:rPr>
        <w:t xml:space="preserve">
      Сноска. Приказ дополнен приложением 4 в соответствии с совместным приказом Председателя Комитета национальной безопасности РК от 30.11.2018 </w:t>
      </w:r>
      <w:r>
        <w:rPr>
          <w:rFonts w:ascii="Times New Roman"/>
          <w:b w:val="false"/>
          <w:i w:val="false"/>
          <w:color w:val="ff0000"/>
          <w:sz w:val="28"/>
        </w:rPr>
        <w:t>№ 97/қе</w:t>
      </w:r>
      <w:r>
        <w:rPr>
          <w:rFonts w:ascii="Times New Roman"/>
          <w:b w:val="false"/>
          <w:i w:val="false"/>
          <w:color w:val="ff0000"/>
          <w:sz w:val="28"/>
        </w:rPr>
        <w:t xml:space="preserve"> и Министра национальной экономики РК от 04.12.2018 № 94 (вводится в действие по истечении двадцати одного календарного дня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68" w:id="138"/>
      <w:r>
        <w:rPr>
          <w:rFonts w:ascii="Times New Roman"/>
          <w:b w:val="false"/>
          <w:i w:val="false"/>
          <w:color w:val="000000"/>
          <w:sz w:val="28"/>
        </w:rPr>
        <w:t>
      Государственный орган, назначивший проверку</w:t>
      </w:r>
    </w:p>
    <w:bookmarkEnd w:id="13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частотомер;</w:t>
            </w:r>
          </w:p>
          <w:p>
            <w:pPr>
              <w:spacing w:after="20"/>
              <w:ind w:left="20"/>
              <w:jc w:val="both"/>
            </w:pPr>
            <w:r>
              <w:rPr>
                <w:rFonts w:ascii="Times New Roman"/>
                <w:b w:val="false"/>
                <w:i w:val="false"/>
                <w:color w:val="000000"/>
                <w:sz w:val="20"/>
              </w:rPr>
              <w:t>
6) генератор сигналов высокочастотный;</w:t>
            </w:r>
          </w:p>
          <w:p>
            <w:pPr>
              <w:spacing w:after="20"/>
              <w:ind w:left="20"/>
              <w:jc w:val="both"/>
            </w:pPr>
            <w:r>
              <w:rPr>
                <w:rFonts w:ascii="Times New Roman"/>
                <w:b w:val="false"/>
                <w:i w:val="false"/>
                <w:color w:val="000000"/>
                <w:sz w:val="20"/>
              </w:rPr>
              <w:t>
7) генератор сигналов низкочастотный;</w:t>
            </w:r>
          </w:p>
          <w:p>
            <w:pPr>
              <w:spacing w:after="20"/>
              <w:ind w:left="20"/>
              <w:jc w:val="both"/>
            </w:pPr>
            <w:r>
              <w:rPr>
                <w:rFonts w:ascii="Times New Roman"/>
                <w:b w:val="false"/>
                <w:i w:val="false"/>
                <w:color w:val="000000"/>
                <w:sz w:val="20"/>
              </w:rPr>
              <w:t>
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10) индикатор поля;</w:t>
            </w:r>
          </w:p>
          <w:p>
            <w:pPr>
              <w:spacing w:after="20"/>
              <w:ind w:left="20"/>
              <w:jc w:val="both"/>
            </w:pPr>
            <w:r>
              <w:rPr>
                <w:rFonts w:ascii="Times New Roman"/>
                <w:b w:val="false"/>
                <w:i w:val="false"/>
                <w:color w:val="000000"/>
                <w:sz w:val="20"/>
              </w:rPr>
              <w:t>
11) паяльная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производственного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хранения разрабатываемых и произведенных специальных технических средств, предназначенных для проведения оперативно-розыскных мероприятий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помещений: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разработки специальных технических средств, предназначенных для проведения оперативно-розыскных мероприятий, на условиях: </w:t>
            </w:r>
          </w:p>
          <w:p>
            <w:pPr>
              <w:spacing w:after="20"/>
              <w:ind w:left="20"/>
              <w:jc w:val="both"/>
            </w:pPr>
            <w:r>
              <w:rPr>
                <w:rFonts w:ascii="Times New Roman"/>
                <w:b w:val="false"/>
                <w:i w:val="false"/>
                <w:color w:val="000000"/>
                <w:sz w:val="20"/>
              </w:rPr>
              <w:t xml:space="preserve">
1) наличия технического задания на разработку специальных технических средств, предназначенных для проведения оперативно-розыскных мероприятий, утвержденного органом, осуществляющим оперативно-розыскную деятельность, и согласованного с лицензиаром; </w:t>
            </w:r>
          </w:p>
          <w:p>
            <w:pPr>
              <w:spacing w:after="20"/>
              <w:ind w:left="20"/>
              <w:jc w:val="both"/>
            </w:pPr>
            <w:r>
              <w:rPr>
                <w:rFonts w:ascii="Times New Roman"/>
                <w:b w:val="false"/>
                <w:i w:val="false"/>
                <w:color w:val="000000"/>
                <w:sz w:val="20"/>
              </w:rPr>
              <w:t>
2) предоставление лицензиару опытного образца разработанного специального технического средства, предназначенного для проведения оперативно-розыскных мероприятий, для проведения его научно-технической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производства специальных технических средств, предназначенных для проведения оперативно-розыскных мероприятий, на условиях: </w:t>
            </w:r>
          </w:p>
          <w:p>
            <w:pPr>
              <w:spacing w:after="20"/>
              <w:ind w:left="20"/>
              <w:jc w:val="both"/>
            </w:pPr>
            <w:r>
              <w:rPr>
                <w:rFonts w:ascii="Times New Roman"/>
                <w:b w:val="false"/>
                <w:i w:val="false"/>
                <w:color w:val="000000"/>
                <w:sz w:val="20"/>
              </w:rPr>
              <w:t xml:space="preserve">
1) наличия конструкторской документации на производимое специальное техническое средство, предназначенное для проведения оперативно-розыскных мероприятий, утвержденной органом, осуществляющим оперативно-розыскную деятельность, и согласованной с лицензиаром; </w:t>
            </w:r>
          </w:p>
          <w:p>
            <w:pPr>
              <w:spacing w:after="20"/>
              <w:ind w:left="20"/>
              <w:jc w:val="both"/>
            </w:pPr>
            <w:r>
              <w:rPr>
                <w:rFonts w:ascii="Times New Roman"/>
                <w:b w:val="false"/>
                <w:i w:val="false"/>
                <w:color w:val="000000"/>
                <w:sz w:val="20"/>
              </w:rPr>
              <w:t>
2) наличие положительного заключения лицензиара по итогам проведения научно-технической экспертизы опытного образца специального технического средства, предназначенного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производство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139"/>
      <w:r>
        <w:rPr>
          <w:rFonts w:ascii="Times New Roman"/>
          <w:b w:val="false"/>
          <w:i w:val="false"/>
          <w:color w:val="000000"/>
          <w:sz w:val="28"/>
        </w:rPr>
        <w:t>
      Должностное(-ые) лицо(-а) ___________ ________________</w:t>
      </w:r>
    </w:p>
    <w:bookmarkEnd w:id="13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70" w:id="140"/>
      <w:r>
        <w:rPr>
          <w:rFonts w:ascii="Times New Roman"/>
          <w:b w:val="false"/>
          <w:i w:val="false"/>
          <w:color w:val="000000"/>
          <w:sz w:val="28"/>
        </w:rPr>
        <w:t>
                               _____________________________________</w:t>
      </w:r>
    </w:p>
    <w:bookmarkEnd w:id="14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71" w:id="141"/>
      <w:r>
        <w:rPr>
          <w:rFonts w:ascii="Times New Roman"/>
          <w:b w:val="false"/>
          <w:i w:val="false"/>
          <w:color w:val="000000"/>
          <w:sz w:val="28"/>
        </w:rPr>
        <w:t>
      Руководитель субъекта контроля ____________ ________________</w:t>
      </w:r>
    </w:p>
    <w:bookmarkEnd w:id="14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72" w:id="142"/>
      <w:r>
        <w:rPr>
          <w:rFonts w:ascii="Times New Roman"/>
          <w:b w:val="false"/>
          <w:i w:val="false"/>
          <w:color w:val="000000"/>
          <w:sz w:val="28"/>
        </w:rPr>
        <w:t>
                               _____________________________________</w:t>
      </w:r>
    </w:p>
    <w:bookmarkEnd w:id="142"/>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73" w:id="14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w:t>
      </w:r>
    </w:p>
    <w:bookmarkEnd w:id="143"/>
    <w:p>
      <w:pPr>
        <w:spacing w:after="0"/>
        <w:ind w:left="0"/>
        <w:jc w:val="both"/>
      </w:pPr>
      <w:r>
        <w:rPr>
          <w:rFonts w:ascii="Times New Roman"/>
          <w:b w:val="false"/>
          <w:i w:val="false"/>
          <w:color w:val="ff0000"/>
          <w:sz w:val="28"/>
        </w:rPr>
        <w:t xml:space="preserve">
      Сноска. Приказ дополнен приложением 5 в соответствии с совместным приказом Председателя Комитета национальной безопасности РК от 30.11.2018 </w:t>
      </w:r>
      <w:r>
        <w:rPr>
          <w:rFonts w:ascii="Times New Roman"/>
          <w:b w:val="false"/>
          <w:i w:val="false"/>
          <w:color w:val="ff0000"/>
          <w:sz w:val="28"/>
        </w:rPr>
        <w:t>№ 97/қе</w:t>
      </w:r>
      <w:r>
        <w:rPr>
          <w:rFonts w:ascii="Times New Roman"/>
          <w:b w:val="false"/>
          <w:i w:val="false"/>
          <w:color w:val="ff0000"/>
          <w:sz w:val="28"/>
        </w:rPr>
        <w:t xml:space="preserve"> и Министра национальной экономики РК от 04.12.2018 № 94 (вводится в действие по истечении двадцати одного календарного дня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74" w:id="144"/>
      <w:r>
        <w:rPr>
          <w:rFonts w:ascii="Times New Roman"/>
          <w:b w:val="false"/>
          <w:i w:val="false"/>
          <w:color w:val="000000"/>
          <w:sz w:val="28"/>
        </w:rPr>
        <w:t>
      Государственный орган, назначивший проверку</w:t>
      </w:r>
    </w:p>
    <w:bookmarkEnd w:id="14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75" w:id="145"/>
      <w:r>
        <w:rPr>
          <w:rFonts w:ascii="Times New Roman"/>
          <w:b w:val="false"/>
          <w:i w:val="false"/>
          <w:color w:val="000000"/>
          <w:sz w:val="28"/>
        </w:rPr>
        <w:t>
      Наименование субъекта (объекта) контроля</w:t>
      </w:r>
    </w:p>
    <w:bookmarkEnd w:id="1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bookmarkStart w:name="z376" w:id="146"/>
    <w:p>
      <w:pPr>
        <w:spacing w:after="0"/>
        <w:ind w:left="0"/>
        <w:jc w:val="both"/>
      </w:pPr>
      <w:r>
        <w:rPr>
          <w:rFonts w:ascii="Times New Roman"/>
          <w:b w:val="false"/>
          <w:i w:val="false"/>
          <w:color w:val="000000"/>
          <w:sz w:val="28"/>
        </w:rPr>
        <w:t>
      Адрес места нахождения ______________________________________________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частотомер;</w:t>
            </w:r>
          </w:p>
          <w:p>
            <w:pPr>
              <w:spacing w:after="20"/>
              <w:ind w:left="20"/>
              <w:jc w:val="both"/>
            </w:pPr>
            <w:r>
              <w:rPr>
                <w:rFonts w:ascii="Times New Roman"/>
                <w:b w:val="false"/>
                <w:i w:val="false"/>
                <w:color w:val="000000"/>
                <w:sz w:val="20"/>
              </w:rPr>
              <w:t>
6) генератор сигналов высокочастотный;</w:t>
            </w:r>
          </w:p>
          <w:p>
            <w:pPr>
              <w:spacing w:after="20"/>
              <w:ind w:left="20"/>
              <w:jc w:val="both"/>
            </w:pPr>
            <w:r>
              <w:rPr>
                <w:rFonts w:ascii="Times New Roman"/>
                <w:b w:val="false"/>
                <w:i w:val="false"/>
                <w:color w:val="000000"/>
                <w:sz w:val="20"/>
              </w:rPr>
              <w:t>
7) генератор сигналов низкочастотный;</w:t>
            </w:r>
          </w:p>
          <w:p>
            <w:pPr>
              <w:spacing w:after="20"/>
              <w:ind w:left="20"/>
              <w:jc w:val="both"/>
            </w:pPr>
            <w:r>
              <w:rPr>
                <w:rFonts w:ascii="Times New Roman"/>
                <w:b w:val="false"/>
                <w:i w:val="false"/>
                <w:color w:val="000000"/>
                <w:sz w:val="20"/>
              </w:rPr>
              <w:t>
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10) индикатор поля;</w:t>
            </w:r>
          </w:p>
          <w:p>
            <w:pPr>
              <w:spacing w:after="20"/>
              <w:ind w:left="20"/>
              <w:jc w:val="both"/>
            </w:pPr>
            <w:r>
              <w:rPr>
                <w:rFonts w:ascii="Times New Roman"/>
                <w:b w:val="false"/>
                <w:i w:val="false"/>
                <w:color w:val="000000"/>
                <w:sz w:val="20"/>
              </w:rPr>
              <w:t>
11) паяльная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помещения: </w:t>
            </w:r>
          </w:p>
          <w:p>
            <w:pPr>
              <w:spacing w:after="20"/>
              <w:ind w:left="20"/>
              <w:jc w:val="both"/>
            </w:pPr>
            <w:r>
              <w:rPr>
                <w:rFonts w:ascii="Times New Roman"/>
                <w:b w:val="false"/>
                <w:i w:val="false"/>
                <w:color w:val="000000"/>
                <w:sz w:val="20"/>
              </w:rPr>
              <w:t xml:space="preserve">
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xml:space="preserve">
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xml:space="preserve">
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реализуемых или ремонтируемых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приобретение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 на реализацию специальных технических средств, предназначенных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ремонт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147"/>
      <w:r>
        <w:rPr>
          <w:rFonts w:ascii="Times New Roman"/>
          <w:b w:val="false"/>
          <w:i w:val="false"/>
          <w:color w:val="000000"/>
          <w:sz w:val="28"/>
        </w:rPr>
        <w:t>
      Должностное(-ые) лицо(-а) ___________ ________________</w:t>
      </w:r>
    </w:p>
    <w:bookmarkEnd w:id="14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78" w:id="148"/>
      <w:r>
        <w:rPr>
          <w:rFonts w:ascii="Times New Roman"/>
          <w:b w:val="false"/>
          <w:i w:val="false"/>
          <w:color w:val="000000"/>
          <w:sz w:val="28"/>
        </w:rPr>
        <w:t>
                               _____________________________________</w:t>
      </w:r>
    </w:p>
    <w:bookmarkEnd w:id="14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79" w:id="149"/>
      <w:r>
        <w:rPr>
          <w:rFonts w:ascii="Times New Roman"/>
          <w:b w:val="false"/>
          <w:i w:val="false"/>
          <w:color w:val="000000"/>
          <w:sz w:val="28"/>
        </w:rPr>
        <w:t>
      Руководитель субъекта контроля ____________ ________________</w:t>
      </w:r>
    </w:p>
    <w:bookmarkEnd w:id="14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80" w:id="150"/>
      <w:r>
        <w:rPr>
          <w:rFonts w:ascii="Times New Roman"/>
          <w:b w:val="false"/>
          <w:i w:val="false"/>
          <w:color w:val="000000"/>
          <w:sz w:val="28"/>
        </w:rPr>
        <w:t>
                               _____________________________________</w:t>
      </w:r>
    </w:p>
    <w:bookmarkEnd w:id="150"/>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82" w:id="151"/>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bookmarkEnd w:id="151"/>
    <w:p>
      <w:pPr>
        <w:spacing w:after="0"/>
        <w:ind w:left="0"/>
        <w:jc w:val="both"/>
      </w:pPr>
      <w:r>
        <w:rPr>
          <w:rFonts w:ascii="Times New Roman"/>
          <w:b w:val="false"/>
          <w:i w:val="false"/>
          <w:color w:val="ff0000"/>
          <w:sz w:val="28"/>
        </w:rPr>
        <w:t xml:space="preserve">
      Сноска. Совместный приказ дополнен приложением 6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83" w:id="152"/>
      <w:r>
        <w:rPr>
          <w:rFonts w:ascii="Times New Roman"/>
          <w:b w:val="false"/>
          <w:i w:val="false"/>
          <w:color w:val="000000"/>
          <w:sz w:val="28"/>
        </w:rPr>
        <w:t>
      Государственный орган, назначивший проверку</w:t>
      </w:r>
    </w:p>
    <w:bookmarkEnd w:id="15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84" w:id="153"/>
      <w:r>
        <w:rPr>
          <w:rFonts w:ascii="Times New Roman"/>
          <w:b w:val="false"/>
          <w:i w:val="false"/>
          <w:color w:val="000000"/>
          <w:sz w:val="28"/>
        </w:rPr>
        <w:t>
      Акт о назначении проверки</w:t>
      </w:r>
    </w:p>
    <w:bookmarkEnd w:id="15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85" w:id="154"/>
      <w:r>
        <w:rPr>
          <w:rFonts w:ascii="Times New Roman"/>
          <w:b w:val="false"/>
          <w:i w:val="false"/>
          <w:color w:val="000000"/>
          <w:sz w:val="28"/>
        </w:rPr>
        <w:t>
      Наименование субъекта (объекта) контроля</w:t>
      </w:r>
    </w:p>
    <w:bookmarkEnd w:id="15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6" w:id="155"/>
      <w:r>
        <w:rPr>
          <w:rFonts w:ascii="Times New Roman"/>
          <w:b w:val="false"/>
          <w:i w:val="false"/>
          <w:color w:val="000000"/>
          <w:sz w:val="28"/>
        </w:rPr>
        <w:t>
      Индивидуальный идентификационный номер/бизнес-идентификационный номер субъекта</w:t>
      </w:r>
    </w:p>
    <w:bookmarkEnd w:id="155"/>
    <w:p>
      <w:pPr>
        <w:spacing w:after="0"/>
        <w:ind w:left="0"/>
        <w:jc w:val="both"/>
      </w:pPr>
      <w:r>
        <w:rPr>
          <w:rFonts w:ascii="Times New Roman"/>
          <w:b w:val="false"/>
          <w:i w:val="false"/>
          <w:color w:val="000000"/>
          <w:sz w:val="28"/>
        </w:rPr>
        <w:t>(объекта) контроля 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p>
            <w:pPr>
              <w:spacing w:after="20"/>
              <w:ind w:left="20"/>
              <w:jc w:val="both"/>
            </w:pPr>
            <w:r>
              <w:rPr>
                <w:rFonts w:ascii="Times New Roman"/>
                <w:b w:val="false"/>
                <w:i w:val="false"/>
                <w:color w:val="000000"/>
                <w:sz w:val="20"/>
              </w:rPr>
              <w:t>
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p>
            <w:pPr>
              <w:spacing w:after="20"/>
              <w:ind w:left="20"/>
              <w:jc w:val="both"/>
            </w:pPr>
            <w:r>
              <w:rPr>
                <w:rFonts w:ascii="Times New Roman"/>
                <w:b w:val="false"/>
                <w:i w:val="false"/>
                <w:color w:val="000000"/>
                <w:sz w:val="20"/>
              </w:rPr>
              <w:t>
6) не менее двух специалистов по направлению администрирования серверных операционных систем (например, Red Hat Certified System Administrator, Microsoft Certified Solutions Associate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средств:</w:t>
            </w:r>
          </w:p>
          <w:p>
            <w:pPr>
              <w:spacing w:after="20"/>
              <w:ind w:left="20"/>
              <w:jc w:val="both"/>
            </w:pPr>
            <w:r>
              <w:rPr>
                <w:rFonts w:ascii="Times New Roman"/>
                <w:b w:val="false"/>
                <w:i w:val="false"/>
                <w:color w:val="000000"/>
                <w:sz w:val="20"/>
              </w:rPr>
              <w:t>
1) решение класса next-generation firewall или unified threat management;</w:t>
            </w:r>
          </w:p>
          <w:p>
            <w:pPr>
              <w:spacing w:after="20"/>
              <w:ind w:left="20"/>
              <w:jc w:val="both"/>
            </w:pPr>
            <w:r>
              <w:rPr>
                <w:rFonts w:ascii="Times New Roman"/>
                <w:b w:val="false"/>
                <w:i w:val="false"/>
                <w:color w:val="000000"/>
                <w:sz w:val="20"/>
              </w:rPr>
              <w:t>
2) система обнаружения угроз на рабочих станциях и реагирования на них (Endpoint Threat Detection and Response);</w:t>
            </w:r>
          </w:p>
          <w:p>
            <w:pPr>
              <w:spacing w:after="20"/>
              <w:ind w:left="20"/>
              <w:jc w:val="both"/>
            </w:pPr>
            <w:r>
              <w:rPr>
                <w:rFonts w:ascii="Times New Roman"/>
                <w:b w:val="false"/>
                <w:i w:val="false"/>
                <w:color w:val="000000"/>
                <w:sz w:val="20"/>
              </w:rPr>
              <w:t>
3) средство проактивного поиска и обнаружения угроз (Threat Hunting);</w:t>
            </w:r>
          </w:p>
          <w:p>
            <w:pPr>
              <w:spacing w:after="20"/>
              <w:ind w:left="20"/>
              <w:jc w:val="both"/>
            </w:pPr>
            <w:r>
              <w:rPr>
                <w:rFonts w:ascii="Times New Roman"/>
                <w:b w:val="false"/>
                <w:i w:val="false"/>
                <w:color w:val="000000"/>
                <w:sz w:val="20"/>
              </w:rPr>
              <w:t>
4) средство предотвращения утечки информации (DLP);</w:t>
            </w:r>
          </w:p>
          <w:p>
            <w:pPr>
              <w:spacing w:after="20"/>
              <w:ind w:left="20"/>
              <w:jc w:val="both"/>
            </w:pPr>
            <w:r>
              <w:rPr>
                <w:rFonts w:ascii="Times New Roman"/>
                <w:b w:val="false"/>
                <w:i w:val="false"/>
                <w:color w:val="000000"/>
                <w:sz w:val="20"/>
              </w:rPr>
              <w:t>
5) система управления событиями информационной безопасности (SIEM);</w:t>
            </w:r>
          </w:p>
          <w:p>
            <w:pPr>
              <w:spacing w:after="20"/>
              <w:ind w:left="20"/>
              <w:jc w:val="both"/>
            </w:pPr>
            <w:r>
              <w:rPr>
                <w:rFonts w:ascii="Times New Roman"/>
                <w:b w:val="false"/>
                <w:i w:val="false"/>
                <w:color w:val="000000"/>
                <w:sz w:val="20"/>
              </w:rPr>
              <w:t>
6) платформа реагирования на инциденты (IRP);</w:t>
            </w:r>
          </w:p>
          <w:p>
            <w:pPr>
              <w:spacing w:after="20"/>
              <w:ind w:left="20"/>
              <w:jc w:val="both"/>
            </w:pPr>
            <w:r>
              <w:rPr>
                <w:rFonts w:ascii="Times New Roman"/>
                <w:b w:val="false"/>
                <w:i w:val="false"/>
                <w:color w:val="000000"/>
                <w:sz w:val="20"/>
              </w:rPr>
              <w:t>
7) платформа управления информацией об угрозах (Threat Intelligence Platform);</w:t>
            </w:r>
          </w:p>
          <w:p>
            <w:pPr>
              <w:spacing w:after="20"/>
              <w:ind w:left="20"/>
              <w:jc w:val="both"/>
            </w:pPr>
            <w:r>
              <w:rPr>
                <w:rFonts w:ascii="Times New Roman"/>
                <w:b w:val="false"/>
                <w:i w:val="false"/>
                <w:color w:val="000000"/>
                <w:sz w:val="20"/>
              </w:rPr>
              <w:t>
8) средство динамического анализа вредоносных программ типа "песочница";</w:t>
            </w:r>
          </w:p>
          <w:p>
            <w:pPr>
              <w:spacing w:after="20"/>
              <w:ind w:left="20"/>
              <w:jc w:val="both"/>
            </w:pPr>
            <w:r>
              <w:rPr>
                <w:rFonts w:ascii="Times New Roman"/>
                <w:b w:val="false"/>
                <w:i w:val="false"/>
                <w:color w:val="000000"/>
                <w:sz w:val="20"/>
              </w:rPr>
              <w:t>
9) сетевой сканер;</w:t>
            </w:r>
          </w:p>
          <w:p>
            <w:pPr>
              <w:spacing w:after="20"/>
              <w:ind w:left="20"/>
              <w:jc w:val="both"/>
            </w:pPr>
            <w:r>
              <w:rPr>
                <w:rFonts w:ascii="Times New Roman"/>
                <w:b w:val="false"/>
                <w:i w:val="false"/>
                <w:color w:val="000000"/>
                <w:sz w:val="20"/>
              </w:rPr>
              <w:t>
10) сканер уязвимостей;</w:t>
            </w:r>
          </w:p>
          <w:p>
            <w:pPr>
              <w:spacing w:after="20"/>
              <w:ind w:left="20"/>
              <w:jc w:val="both"/>
            </w:pPr>
            <w:r>
              <w:rPr>
                <w:rFonts w:ascii="Times New Roman"/>
                <w:b w:val="false"/>
                <w:i w:val="false"/>
                <w:color w:val="000000"/>
                <w:sz w:val="20"/>
              </w:rPr>
              <w:t>
11) сканер уязвимостей веб-приложений;</w:t>
            </w:r>
          </w:p>
          <w:p>
            <w:pPr>
              <w:spacing w:after="20"/>
              <w:ind w:left="20"/>
              <w:jc w:val="both"/>
            </w:pPr>
            <w:r>
              <w:rPr>
                <w:rFonts w:ascii="Times New Roman"/>
                <w:b w:val="false"/>
                <w:i w:val="false"/>
                <w:color w:val="000000"/>
                <w:sz w:val="20"/>
              </w:rPr>
              <w:t>
12) средство эксплуатации уязвимостей;</w:t>
            </w:r>
          </w:p>
          <w:p>
            <w:pPr>
              <w:spacing w:after="20"/>
              <w:ind w:left="20"/>
              <w:jc w:val="both"/>
            </w:pPr>
            <w:r>
              <w:rPr>
                <w:rFonts w:ascii="Times New Roman"/>
                <w:b w:val="false"/>
                <w:i w:val="false"/>
                <w:color w:val="000000"/>
                <w:sz w:val="20"/>
              </w:rPr>
              <w:t>
13) внешний Wi-Fi адаптер с направленной антенной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при условии:</w:t>
            </w:r>
          </w:p>
          <w:p>
            <w:pPr>
              <w:spacing w:after="20"/>
              <w:ind w:left="20"/>
              <w:jc w:val="both"/>
            </w:pPr>
            <w:r>
              <w:rPr>
                <w:rFonts w:ascii="Times New Roman"/>
                <w:b w:val="false"/>
                <w:i w:val="false"/>
                <w:color w:val="000000"/>
                <w:sz w:val="20"/>
              </w:rPr>
              <w:t>
1) наличия разработанной и утвержденной лицензиатом по согласованию с лицензиаром методики оказания услуг по выявлению технических каналов утечки информации и специальных технических средств оперативным центром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156"/>
      <w:r>
        <w:rPr>
          <w:rFonts w:ascii="Times New Roman"/>
          <w:b w:val="false"/>
          <w:i w:val="false"/>
          <w:color w:val="000000"/>
          <w:sz w:val="28"/>
        </w:rPr>
        <w:t>
      Должностное(-ые) лицо(-а) ______________ ________________</w:t>
      </w:r>
    </w:p>
    <w:bookmarkEnd w:id="15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88" w:id="157"/>
      <w:r>
        <w:rPr>
          <w:rFonts w:ascii="Times New Roman"/>
          <w:b w:val="false"/>
          <w:i w:val="false"/>
          <w:color w:val="000000"/>
          <w:sz w:val="28"/>
        </w:rPr>
        <w:t>
                               _____________________________________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89" w:id="158"/>
      <w:r>
        <w:rPr>
          <w:rFonts w:ascii="Times New Roman"/>
          <w:b w:val="false"/>
          <w:i w:val="false"/>
          <w:color w:val="000000"/>
          <w:sz w:val="28"/>
        </w:rPr>
        <w:t>
      Руководитель субъекта контроля _______________ ________________</w:t>
      </w:r>
    </w:p>
    <w:bookmarkEnd w:id="15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90" w:id="159"/>
      <w:r>
        <w:rPr>
          <w:rFonts w:ascii="Times New Roman"/>
          <w:b w:val="false"/>
          <w:i w:val="false"/>
          <w:color w:val="000000"/>
          <w:sz w:val="28"/>
        </w:rPr>
        <w:t>
                               _____________________________________</w:t>
      </w:r>
    </w:p>
    <w:bookmarkEnd w:id="159"/>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92" w:id="16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bookmarkEnd w:id="160"/>
    <w:p>
      <w:pPr>
        <w:spacing w:after="0"/>
        <w:ind w:left="0"/>
        <w:jc w:val="both"/>
      </w:pPr>
      <w:r>
        <w:rPr>
          <w:rFonts w:ascii="Times New Roman"/>
          <w:b w:val="false"/>
          <w:i w:val="false"/>
          <w:color w:val="ff0000"/>
          <w:sz w:val="28"/>
        </w:rPr>
        <w:t xml:space="preserve">
      Сноска. Совместный приказ дополнен приложением 7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Председателя Комитета национальной безопасности РК от 24.05.2023 № 32/қе и Министра национальной экономики РК от 25.05.2023 № 80 (вводится в действие по истечении десяти календарных дней со дня его первого официального опубликования).</w:t>
      </w:r>
    </w:p>
    <w:p>
      <w:pPr>
        <w:spacing w:after="0"/>
        <w:ind w:left="0"/>
        <w:jc w:val="both"/>
      </w:pPr>
      <w:bookmarkStart w:name="z393" w:id="161"/>
      <w:r>
        <w:rPr>
          <w:rFonts w:ascii="Times New Roman"/>
          <w:b w:val="false"/>
          <w:i w:val="false"/>
          <w:color w:val="000000"/>
          <w:sz w:val="28"/>
        </w:rPr>
        <w:t>
      Государственный орган, назначивший проверку</w:t>
      </w:r>
    </w:p>
    <w:bookmarkEnd w:id="16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394" w:id="162"/>
      <w:r>
        <w:rPr>
          <w:rFonts w:ascii="Times New Roman"/>
          <w:b w:val="false"/>
          <w:i w:val="false"/>
          <w:color w:val="000000"/>
          <w:sz w:val="28"/>
        </w:rPr>
        <w:t>
      Акт о назначении проверки</w:t>
      </w:r>
    </w:p>
    <w:bookmarkEnd w:id="1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95" w:id="163"/>
      <w:r>
        <w:rPr>
          <w:rFonts w:ascii="Times New Roman"/>
          <w:b w:val="false"/>
          <w:i w:val="false"/>
          <w:color w:val="000000"/>
          <w:sz w:val="28"/>
        </w:rPr>
        <w:t>
      Наименование субъекта (объекта) контроля</w:t>
      </w:r>
    </w:p>
    <w:bookmarkEnd w:id="1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96" w:id="164"/>
      <w:r>
        <w:rPr>
          <w:rFonts w:ascii="Times New Roman"/>
          <w:b w:val="false"/>
          <w:i w:val="false"/>
          <w:color w:val="000000"/>
          <w:sz w:val="28"/>
        </w:rPr>
        <w:t>
      Индивидуальный идентификационный номер/бизнес-идентификационный номер субъекта</w:t>
      </w:r>
    </w:p>
    <w:bookmarkEnd w:id="164"/>
    <w:p>
      <w:pPr>
        <w:spacing w:after="0"/>
        <w:ind w:left="0"/>
        <w:jc w:val="both"/>
      </w:pPr>
      <w:r>
        <w:rPr>
          <w:rFonts w:ascii="Times New Roman"/>
          <w:b w:val="false"/>
          <w:i w:val="false"/>
          <w:color w:val="000000"/>
          <w:sz w:val="28"/>
        </w:rPr>
        <w:t>(объекта) контроля ___________________________________________________</w:t>
      </w:r>
    </w:p>
    <w:bookmarkStart w:name="z397" w:id="165"/>
    <w:p>
      <w:pPr>
        <w:spacing w:after="0"/>
        <w:ind w:left="0"/>
        <w:jc w:val="both"/>
      </w:pPr>
      <w:r>
        <w:rPr>
          <w:rFonts w:ascii="Times New Roman"/>
          <w:b w:val="false"/>
          <w:i w:val="false"/>
          <w:color w:val="000000"/>
          <w:sz w:val="28"/>
        </w:rPr>
        <w:t>
      Адрес места нахождения ______________________________________________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p>
            <w:pPr>
              <w:spacing w:after="20"/>
              <w:ind w:left="20"/>
              <w:jc w:val="both"/>
            </w:pPr>
            <w:r>
              <w:rPr>
                <w:rFonts w:ascii="Times New Roman"/>
                <w:b w:val="false"/>
                <w:i w:val="false"/>
                <w:color w:val="000000"/>
                <w:sz w:val="20"/>
              </w:rPr>
              <w:t>
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набора поисковых средств:</w:t>
            </w:r>
          </w:p>
          <w:p>
            <w:pPr>
              <w:spacing w:after="20"/>
              <w:ind w:left="20"/>
              <w:jc w:val="both"/>
            </w:pPr>
            <w:r>
              <w:rPr>
                <w:rFonts w:ascii="Times New Roman"/>
                <w:b w:val="false"/>
                <w:i w:val="false"/>
                <w:color w:val="000000"/>
                <w:sz w:val="20"/>
              </w:rPr>
              <w:t>
1) платформа реагирования на инциденты (IRP);</w:t>
            </w:r>
          </w:p>
          <w:p>
            <w:pPr>
              <w:spacing w:after="20"/>
              <w:ind w:left="20"/>
              <w:jc w:val="both"/>
            </w:pPr>
            <w:r>
              <w:rPr>
                <w:rFonts w:ascii="Times New Roman"/>
                <w:b w:val="false"/>
                <w:i w:val="false"/>
                <w:color w:val="000000"/>
                <w:sz w:val="20"/>
              </w:rPr>
              <w:t>
2) платформа управления информацией об угрозах (Threat Intelligence Platform);</w:t>
            </w:r>
          </w:p>
          <w:p>
            <w:pPr>
              <w:spacing w:after="20"/>
              <w:ind w:left="20"/>
              <w:jc w:val="both"/>
            </w:pPr>
            <w:r>
              <w:rPr>
                <w:rFonts w:ascii="Times New Roman"/>
                <w:b w:val="false"/>
                <w:i w:val="false"/>
                <w:color w:val="000000"/>
                <w:sz w:val="20"/>
              </w:rPr>
              <w:t>
3) Средство статического анализа вредоносных программ;</w:t>
            </w:r>
          </w:p>
          <w:p>
            <w:pPr>
              <w:spacing w:after="20"/>
              <w:ind w:left="20"/>
              <w:jc w:val="both"/>
            </w:pPr>
            <w:r>
              <w:rPr>
                <w:rFonts w:ascii="Times New Roman"/>
                <w:b w:val="false"/>
                <w:i w:val="false"/>
                <w:color w:val="000000"/>
                <w:sz w:val="20"/>
              </w:rPr>
              <w:t>
4) Средство динамического анализа вредоносных программ типа "песочница"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при условии:</w:t>
            </w:r>
          </w:p>
          <w:p>
            <w:pPr>
              <w:spacing w:after="20"/>
              <w:ind w:left="20"/>
              <w:jc w:val="both"/>
            </w:pPr>
            <w:r>
              <w:rPr>
                <w:rFonts w:ascii="Times New Roman"/>
                <w:b w:val="false"/>
                <w:i w:val="false"/>
                <w:color w:val="000000"/>
                <w:sz w:val="20"/>
              </w:rPr>
              <w:t>
1)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 w:id="166"/>
      <w:r>
        <w:rPr>
          <w:rFonts w:ascii="Times New Roman"/>
          <w:b w:val="false"/>
          <w:i w:val="false"/>
          <w:color w:val="000000"/>
          <w:sz w:val="28"/>
        </w:rPr>
        <w:t>
      Должностное(-ые) лицо(-а) ______________ ________________</w:t>
      </w:r>
    </w:p>
    <w:bookmarkEnd w:id="16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99" w:id="167"/>
      <w:r>
        <w:rPr>
          <w:rFonts w:ascii="Times New Roman"/>
          <w:b w:val="false"/>
          <w:i w:val="false"/>
          <w:color w:val="000000"/>
          <w:sz w:val="28"/>
        </w:rPr>
        <w:t>
                               _____________________________________</w:t>
      </w:r>
    </w:p>
    <w:bookmarkEnd w:id="16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00" w:id="168"/>
      <w:r>
        <w:rPr>
          <w:rFonts w:ascii="Times New Roman"/>
          <w:b w:val="false"/>
          <w:i w:val="false"/>
          <w:color w:val="000000"/>
          <w:sz w:val="28"/>
        </w:rPr>
        <w:t>
      Руководитель субъекта контроля _______________ ________________</w:t>
      </w:r>
    </w:p>
    <w:bookmarkEnd w:id="16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401" w:id="169"/>
      <w:r>
        <w:rPr>
          <w:rFonts w:ascii="Times New Roman"/>
          <w:b w:val="false"/>
          <w:i w:val="false"/>
          <w:color w:val="000000"/>
          <w:sz w:val="28"/>
        </w:rPr>
        <w:t>
                               _____________________________________</w:t>
      </w:r>
    </w:p>
    <w:bookmarkEnd w:id="16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