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c59" w14:textId="66f7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индекса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9 ноября 2016 года № 260. Зарегистрирован в Министерстве юстиции Республики Казахстан 8 декабря 2016 года № 14494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качества жизни.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течении десяти календарных дней со дня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260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индекса качества жизни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расчета индекса качества жизни (далее -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Методика определяет основные аспекты формирования расчета индекса качества жизни (далее - ИКЖ).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Настоящая Методика применяется Комитетом по статистике Министерства Национальной экономики Республики Казахстан (далее - Комитет) и его территориальными органами при произведении расчетов индекса качества жизни по Республике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Методика разработана с учетом методологии расчета ИКЖ Организации экономического сотрудничества и развития (далее - ОЭСР).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Аспекты измерения индекса качества жизни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концептуальных основах настоящей Методики предусмотрено 11 аспектов измерения: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физических условий жизни: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финансовое благосостояние и доход;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работа и заработная плата;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жилищные условия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качества жизни: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состояние здоровья;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баланс между работой и личной жизнью;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образование и навыки;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гражданские права и власть;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общественные взаимоотношения;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качество окружающей среды;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личная безопасность;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субъективное благополучие.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Финансовое благосостояние и доход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Финансовое благосостояние семьи складывается из общей стоимости финансового состояния семьи или суммы всех финансовых активов за вычетом задолженностей. Финансовое благосостояние включает в себя сбережения, монетарное золото, валюту и депозиты, акции, ценные бумаги и займы.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Чистое финансовое благосостояние состоит из различных финансовых активов, принадлежащих домохозяйствам за вычетом всех видов финансовых обязательств.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209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– чистое финансовое благосостояние;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финансовые активы;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финансовые обязательства.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Финансовые активы являются существенным источником дохода. Доход получают посредством продажи или рефинансирования финансовых активов, а также ренты, получения процентов и дивидендов или каких-либо других доходов от имущества.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недоступности информации о недвижимом имуществе, данные о его наличии не учитываются.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Чистый скорректированный располагаемый доход домохозяйства включает доход от труда, собственности, расчетную ренту, начисленную владельцам домов, социальные выплаты в денежной форме за вычетом прямых налогов и взносов в фонды социального обеспечения, взимаемых с домохозяйств, социальные трансферты в натуральной форме. Доход измеряется без учета обесценивания основного капитала, запускающего производство платных услуг домохозяйства для собственных нужд.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350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876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оплата труда наемных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12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другие налоги на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ВП + ВСД - валовая прибыль и валовой смешанный доход;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 - потребление основного капитала;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ЧП + ЧСД - чистая прибыль и чистый смешанный доход.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Работа и заработная плата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Работа и заработная плата, включает четыре направления: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обеспеченность работой,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личные заработки,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уровень долгосрочной безработицы,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уровень занятости.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Обеспеченность работой оценивается как доля наемных лиц с опытом работы менее 6 месяцев за последний отчетный год в возрасте от 15 до 63 лет и определяется по следующей формуле: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349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vertAlign w:val="subscript"/>
        </w:rPr>
        <w:t>6мес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наемных лиц с опытом работы менее 6 месяцев, последний отчетный год;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</w:t>
      </w:r>
      <w:r>
        <w:rPr>
          <w:rFonts w:ascii="Times New Roman"/>
          <w:b w:val="false"/>
          <w:i w:val="false"/>
          <w:color w:val="000000"/>
          <w:vertAlign w:val="subscript"/>
        </w:rPr>
        <w:t>&lt;</w:t>
      </w:r>
      <w:r>
        <w:rPr>
          <w:rFonts w:ascii="Times New Roman"/>
          <w:b w:val="false"/>
          <w:i w:val="false"/>
          <w:color w:val="000000"/>
          <w:vertAlign w:val="subscript"/>
        </w:rPr>
        <w:t>6мес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занятых с опытом работы менее 6 месяцев;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 - общее количество занятых лиц.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Личный заработок рассчитывается из среднегодового заработка сотрудника, работающего на полную ставку за последний отчетный год.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866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Зараб</w:t>
      </w:r>
      <w:r>
        <w:rPr>
          <w:rFonts w:ascii="Times New Roman"/>
          <w:b w:val="false"/>
          <w:i w:val="false"/>
          <w:color w:val="000000"/>
          <w:vertAlign w:val="subscript"/>
        </w:rPr>
        <w:t>личн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личные заработки;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ВДС - валовая добавленная стоимость;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ЧП - чистая прибыль и чистый смешанный доход;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</w:t>
      </w:r>
      <w:r>
        <w:rPr>
          <w:rFonts w:ascii="Times New Roman"/>
          <w:b w:val="false"/>
          <w:i w:val="false"/>
          <w:color w:val="000000"/>
          <w:vertAlign w:val="subscript"/>
        </w:rPr>
        <w:t>нас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населения.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Уровень долгосрочной безработицы определяется как процентное соотношение людей в возрасте от 15 до 63 лет, не работающие, но активно занимались поиском работы в течение более одного года.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498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УДБ - уровень долгосрочной безработицы;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Безр</w:t>
      </w:r>
      <w:r>
        <w:rPr>
          <w:rFonts w:ascii="Times New Roman"/>
          <w:b w:val="false"/>
          <w:i w:val="false"/>
          <w:color w:val="000000"/>
          <w:vertAlign w:val="subscript"/>
        </w:rPr>
        <w:t>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безработных людей в возрасте от 15 до 63 лет в отчетном году;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ЧН</w:t>
      </w:r>
      <w:r>
        <w:rPr>
          <w:rFonts w:ascii="Times New Roman"/>
          <w:b w:val="false"/>
          <w:i w:val="false"/>
          <w:color w:val="000000"/>
          <w:vertAlign w:val="subscript"/>
        </w:rPr>
        <w:t>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людей в возрасте от 15 до 63 лет в отчетном году.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Уровень занятости находится как процентное соотношение людей в возрасте от 15 до 63 лет, в настоящий момент имеющих оплачиваемую работу, последний отчетный год.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159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УЗ - уровень занятых;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Занят</w:t>
      </w:r>
      <w:r>
        <w:rPr>
          <w:rFonts w:ascii="Times New Roman"/>
          <w:b w:val="false"/>
          <w:i w:val="false"/>
          <w:color w:val="000000"/>
          <w:vertAlign w:val="subscript"/>
        </w:rPr>
        <w:t>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занятых людей в возрасте от 15 до 63 лет в отчетном году;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 нас</w:t>
      </w:r>
      <w:r>
        <w:rPr>
          <w:rFonts w:ascii="Times New Roman"/>
          <w:b w:val="false"/>
          <w:i w:val="false"/>
          <w:color w:val="000000"/>
          <w:vertAlign w:val="subscript"/>
        </w:rPr>
        <w:t>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людей в возрасте от 15 до 63 лет в отчетном году.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Жилищные условия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Наличие жилья надлежащего уровня является наивысшим приоритетом для удовлетворения материальных потребностей человека. Жилье является крупнейшим компонентом расходной статьи многих семей и центральным компонентом для удовлетворения основных людских потребностей. Данный аспект включает три направления: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расходы на жилье;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жилье с основными коммунальными удобствами;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количество комнат на человека.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Расходы на жилье представляют собой самую крупную статью расходов бюджета семей, включая аренду, оплату за газ, электричество, воду, расходы на мебель и ремонт. Соотношение расходов на жилье и чистого скорректированного дохода после уплаты налогов, последний отчетный год: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1955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 </w:t>
      </w:r>
      <w:r>
        <w:rPr>
          <w:rFonts w:ascii="Times New Roman"/>
          <w:b w:val="false"/>
          <w:i w:val="false"/>
          <w:color w:val="000000"/>
          <w:vertAlign w:val="subscript"/>
        </w:rPr>
        <w:t>расх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расходов на жилье;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на </w:t>
      </w:r>
      <w:r>
        <w:rPr>
          <w:rFonts w:ascii="Times New Roman"/>
          <w:b w:val="false"/>
          <w:i w:val="false"/>
          <w:color w:val="000000"/>
          <w:vertAlign w:val="subscript"/>
        </w:rPr>
        <w:t>содерж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жилья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содержание жилья;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</w:t>
      </w:r>
      <w:r>
        <w:rPr>
          <w:rFonts w:ascii="Times New Roman"/>
          <w:b w:val="false"/>
          <w:i w:val="false"/>
          <w:color w:val="000000"/>
          <w:vertAlign w:val="subscript"/>
        </w:rPr>
        <w:t>чист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скорр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чистый скорректированный доход.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Доступ к коммунальным удобствам определяется процентным соотношением людей имеющих сливные туалеты внутри дома за последний отчетный год.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Условия проживания характеризует показатель количество комнат в жилом помещении, разделенное на число проживающих в нем лиц: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965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КЧ - Комната на человек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КК - количество комнат в жилом помещении;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ЧП - число проживающих в помещении.</w:t>
      </w:r>
    </w:p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Состояние здоровья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Состояние здоровья играет важную роль для достижения других компонентов благосостояния, таких как наличие хорошей работы и достаточного дохода, чтобы участвовать в общественной жизни в качестве полноправных граждан, общаться с другими людьми, получать среднее и высшее образование. Данный аспект включает два направления: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самооценка состояния здоровья;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продолжительность жизни.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Показатель удовлетворенности состоянием здоровья формируется на основе данных общегосударственных статистических наблюдений.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Ожидаемая продолжительность жизни населения при рождении характеризует продолжительность жизни не отдельного индивидума, а населения в целом. 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Баланс между работой и личной жизнью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Правильный баланс между рабочими обязательствами и частной жизнью является центральным компонентом для обеспечения благополучия людей. Большой объем работы оказывает косвенное негативное влияние на благополучие, вследствие ухудшения состояния здоровья, ущемлений в личной жизни, ограничений в деятельности по уходу за детьми и другими родственниками, сокращении свободного времени. Данный аспект характеризуют: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время, посвященное отдыху и уходу за собой,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сотрудники, посвящающие работе много времени.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Доля работников, работающих за плату более чем 50 часов в неделю, определяется по следующей формуле: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2095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bscript"/>
        </w:rPr>
        <w:t>ч&lt; -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доля работников, занятых более 50 часов в неделю;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ЧР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bscript"/>
        </w:rPr>
        <w:t>ч&lt;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работников, занятых более 50 часов в неделю;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 - занятое население.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Образование и навыки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Показатели результатов образования, используемые в расчете ИКЖ, относятся к уровню образования взрослого населения и грамотности 15-летних учащихся. Данный аспект включает три направления: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лет для получения образования;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знания студентов (учеников) в области математики, точных наук и качество чтения;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уровень образования взрослого населения.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Средняя продолжительность образования (начиная с пятилетнего возраста) определяется по следующей формуле: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</w:t>
      </w:r>
      <w:r>
        <w:rPr>
          <w:rFonts w:ascii="Times New Roman"/>
          <w:b w:val="false"/>
          <w:i w:val="false"/>
          <w:color w:val="000000"/>
          <w:vertAlign w:val="subscript"/>
        </w:rPr>
        <w:t>обр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+ НО + СО + ВО                  (10)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</w:t>
      </w:r>
      <w:r>
        <w:rPr>
          <w:rFonts w:ascii="Times New Roman"/>
          <w:b w:val="false"/>
          <w:i w:val="false"/>
          <w:color w:val="000000"/>
          <w:vertAlign w:val="subscript"/>
        </w:rPr>
        <w:t>обр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продолжительность образования;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- дошкольное образование;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 - начальное образование;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 - среднее образование;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- высшее образование.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Способность 15-летних учащихся понимать, использовать, размышлять и взаимодействовать с письменными текстами для достижения своих собственных целей, развивать знания и потенциал. Данный показатель взят из Международной программы ОЭСР по оценке образовательных достижений учащихся, где основное внимание уделялось чтению.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524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ЗнСУ - знание студентов/учеников;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Мг - математическая грамотность;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Ег - естественнонаучная грамотность;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Чг - читательская грамотность.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Уровень образования взрослого населения измеряется с помощью образовательных квалификаций и определяется как доля взрослого населения (от 25 до 64 лет), окончившего, по меньшей мере, старшие классы средней школы согласно классификации ОЭСР - Международная стандартная классификация образования.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Гражданские права и власть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Ключевые показатели по гражданским правам и власти, представленные ниже, относятся к активности избирателей и наличию формальных и открытых консультативных процессов. Данный аспект включает два направления: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уровень прозрачности власти;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активность избирателей.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Показатель по уровню прозрачности власти при разработке законодательства представляет собой композитный индекс, суммирующий различные источники информации касательно открытости и прозрачности власти.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Показатель активность избирателей измеряет степень участия в национальных выборах. По числу голосов, отданных населением, зарегистрированных для участия в голосовании определяют активность избирателей. К населению, достигшему возраста, дающего право участвовать в голосовании, относятся люди в возрасте 18 лет или старше, к зарегистрированному населению относятся лица, перечисленные в реестре избирателей. Отданные голоса собираются национальной избирательной комиссией.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Общественные взаимоотношения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Общественные взаимоотношения или социальные связи являются важнейшим фактором, определяющим благополучие человека. Времяпровождение приносит большее удовлетворение, когда тратится совместно с другими людьми (в кругу семьи, друзей или коллег). Социальные связи предоставляют материальную и эмоциональную поддержку в случае необходимости. Данный аспект характеризуют частота общения с другими людьми и нематериальная поддержка в рамках круга общения.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показателям социальных связей относятся: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доля респондентов, заявивших, что они общаются/встречаются с родственниками либо друзьями не менее одного раза в неделю;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процентное соотношение людей, имеющих друзей или родственников.</w:t>
      </w:r>
    </w:p>
    <w:bookmarkEnd w:id="139"/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Качество окружающей среды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Влияние загрязняющих веществ на здоровье людей является значительным и качество окружающей среды является ключевым компонентом качества жизни населения. Данный аспект включает два направления: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качество воды;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уровень загрязненности воздуха.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Качество воды определяется через процентное соотношение людей сообщающих о своей удовлетворенности качеством местной воды.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Показатель уровень загрязнения воздуха отражается как средний показатель, взвешенный по численности населения, демонстрирующий концентрацию мелких частиц в воздухе (измеряется в микрограммах на кубический метр). Измерение уровня загрязнения воздуха представляет собой сложный процесс, поскольку качество воздуха обуславливается сложной смесью загрязняющих веществ, варьирующийся под воздействием таких факторов, как время, пространство и химические вещества.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2895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УЗВ - уровень загрязнения воздуха;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Числ/насел</w:t>
      </w:r>
      <w:r>
        <w:rPr>
          <w:rFonts w:ascii="Times New Roman"/>
          <w:b w:val="false"/>
          <w:i w:val="false"/>
          <w:color w:val="000000"/>
          <w:vertAlign w:val="subscript"/>
        </w:rPr>
        <w:t>&gt;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00тыс чел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отдельных населенных пунктов с населением более 100 тысяч человек;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ЧВ </w:t>
      </w:r>
      <w:r>
        <w:rPr>
          <w:rFonts w:ascii="Times New Roman"/>
          <w:b w:val="false"/>
          <w:i w:val="false"/>
          <w:color w:val="000000"/>
          <w:vertAlign w:val="subscript"/>
        </w:rPr>
        <w:t>этих нас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численность всего этих населенных пунктов с населением более 100 тысяч человек.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СКВЧ - средняя концентрация взвешенных частиц этих городов.</w:t>
      </w:r>
    </w:p>
    <w:bookmarkEnd w:id="151"/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Личная безопасность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Личная безопасность – это ключевая составляющая благополучия, и риск человека стать жертвой преступления является одним из основных факторов, формирующих личную безопасность. Преступление может привести к смерти или утрате имущества, а также вызвать физическую боль, посттравматический стресс или ощущение страха. Одним из самых сильных воздействий совершенного преступления на благополучие человека является развитие у него чувства уязвимости. Данный аспект измерения благополучия представлен показателями: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зарегистрированных преднамеренных убийств на 100 000 человек населения;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процент людей, заявивших, что они стали жертвами нападений в течение последних 12 месяцев.</w:t>
      </w:r>
    </w:p>
    <w:bookmarkEnd w:id="155"/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Субъективное благополучие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Показатели удовлетворенности жизнью позволяют также понять расхождение между объективными условиями жизни людей и их собственной оценкой данных условий. Данный аспект включает одно направление – удовлетворенность жизнью.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Показатель субъективного благополучия показывает общую удовлетворенность жизнью опрашиваемого населения.</w:t>
      </w:r>
    </w:p>
    <w:bookmarkEnd w:id="158"/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обобщающего индекса качества жизни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Расчет обобщающего показателя ИКЖ отражен в следующей формуле: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63500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      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