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1279" w14:textId="8aa1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20 сентября 2016 года № 568. Зарегистрирован в Министерстве юстиции Республики Казахстан 24 ноября 2016 года № 14453.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статьи 5 Закона Республики Казахстан от 27 июля 2007 года "Об образовании",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(зарегистрированный в Реестре государственной регистрации нормативных правовых актов под № 11716, опубликованный 30 июля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предъявляемых к образовательной деятельности, и перечне документов, подтверждающих соответствие им, утвержденных указанным приказом: </w:t>
      </w:r>
    </w:p>
    <w:bookmarkEnd w:id="2"/>
    <w:bookmarkStart w:name="z6" w:id="3"/>
    <w:p>
      <w:pPr>
        <w:spacing w:after="0"/>
        <w:ind w:left="0"/>
        <w:jc w:val="both"/>
      </w:pPr>
      <w:r>
        <w:rPr>
          <w:rFonts w:ascii="Times New Roman"/>
          <w:b w:val="false"/>
          <w:i w:val="false"/>
          <w:color w:val="000000"/>
          <w:sz w:val="28"/>
        </w:rPr>
        <w:t>
      строку, порядковый номер 50, изложить в следующей редакции:</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50</w:t>
            </w:r>
          </w:p>
          <w:bookmarkEnd w:id="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 не менее 30 %;</w:t>
            </w:r>
          </w:p>
          <w:p>
            <w:pPr>
              <w:spacing w:after="20"/>
              <w:ind w:left="20"/>
              <w:jc w:val="both"/>
            </w:pPr>
            <w:r>
              <w:rPr>
                <w:rFonts w:ascii="Times New Roman"/>
                <w:b w:val="false"/>
                <w:i w:val="false"/>
                <w:color w:val="000000"/>
                <w:sz w:val="20"/>
              </w:rPr>
              <w:t>
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Для группы специальностей "Искусство"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 не менее 30 %;</w:t>
            </w:r>
          </w:p>
          <w:p>
            <w:pPr>
              <w:spacing w:after="20"/>
              <w:ind w:left="20"/>
              <w:jc w:val="both"/>
            </w:pPr>
            <w:r>
              <w:rPr>
                <w:rFonts w:ascii="Times New Roman"/>
                <w:b w:val="false"/>
                <w:i w:val="false"/>
                <w:color w:val="000000"/>
                <w:sz w:val="20"/>
              </w:rPr>
              <w:t>
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по группе специальностей "Здравоохранение и социальное обеспечение (медицина)":</w:t>
            </w:r>
          </w:p>
          <w:p>
            <w:pPr>
              <w:spacing w:after="20"/>
              <w:ind w:left="20"/>
              <w:jc w:val="both"/>
            </w:pPr>
            <w:r>
              <w:rPr>
                <w:rFonts w:ascii="Times New Roman"/>
                <w:b w:val="false"/>
                <w:i w:val="false"/>
                <w:color w:val="000000"/>
                <w:sz w:val="20"/>
              </w:rPr>
              <w:t xml:space="preserve">
для национальных высших учебных заведений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 не менее 40 %; </w:t>
            </w:r>
          </w:p>
          <w:p>
            <w:pPr>
              <w:spacing w:after="20"/>
              <w:ind w:left="20"/>
              <w:jc w:val="both"/>
            </w:pPr>
            <w:r>
              <w:rPr>
                <w:rFonts w:ascii="Times New Roman"/>
                <w:b w:val="false"/>
                <w:i w:val="false"/>
                <w:color w:val="000000"/>
                <w:sz w:val="20"/>
              </w:rPr>
              <w:t>
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не более 50%;</w:t>
            </w:r>
          </w:p>
          <w:p>
            <w:pPr>
              <w:spacing w:after="20"/>
              <w:ind w:left="20"/>
              <w:jc w:val="both"/>
            </w:pPr>
            <w:r>
              <w:rPr>
                <w:rFonts w:ascii="Times New Roman"/>
                <w:b w:val="false"/>
                <w:i w:val="false"/>
                <w:color w:val="000000"/>
                <w:sz w:val="20"/>
              </w:rPr>
              <w:t xml:space="preserve">
для университетов, академий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 не менее 30 %; </w:t>
            </w:r>
          </w:p>
          <w:p>
            <w:pPr>
              <w:spacing w:after="20"/>
              <w:ind w:left="20"/>
              <w:jc w:val="both"/>
            </w:pPr>
            <w:r>
              <w:rPr>
                <w:rFonts w:ascii="Times New Roman"/>
                <w:b w:val="false"/>
                <w:i w:val="false"/>
                <w:color w:val="000000"/>
                <w:sz w:val="20"/>
              </w:rPr>
              <w:t>
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62</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учебного плана, в том числе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p>
          <w:p>
            <w:pPr>
              <w:spacing w:after="20"/>
              <w:ind w:left="20"/>
              <w:jc w:val="both"/>
            </w:pPr>
            <w:r>
              <w:rPr>
                <w:rFonts w:ascii="Times New Roman"/>
                <w:b w:val="false"/>
                <w:i w:val="false"/>
                <w:color w:val="000000"/>
                <w:sz w:val="20"/>
              </w:rPr>
              <w:t>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 не менее 30 %;</w:t>
            </w:r>
          </w:p>
          <w:p>
            <w:pPr>
              <w:spacing w:after="20"/>
              <w:ind w:left="20"/>
              <w:jc w:val="both"/>
            </w:pPr>
            <w:r>
              <w:rPr>
                <w:rFonts w:ascii="Times New Roman"/>
                <w:b w:val="false"/>
                <w:i w:val="false"/>
                <w:color w:val="000000"/>
                <w:sz w:val="20"/>
              </w:rPr>
              <w:t>
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Для группы специальностей "Искусство"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 не менее 30 %;</w:t>
            </w:r>
          </w:p>
          <w:p>
            <w:pPr>
              <w:spacing w:after="20"/>
              <w:ind w:left="20"/>
              <w:jc w:val="both"/>
            </w:pPr>
            <w:r>
              <w:rPr>
                <w:rFonts w:ascii="Times New Roman"/>
                <w:b w:val="false"/>
                <w:i w:val="false"/>
                <w:color w:val="000000"/>
                <w:sz w:val="20"/>
              </w:rPr>
              <w:t>
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по группе специальностей "Здравоохранение и социальное обеспечение (медицина)":</w:t>
            </w:r>
          </w:p>
          <w:p>
            <w:pPr>
              <w:spacing w:after="20"/>
              <w:ind w:left="20"/>
              <w:jc w:val="both"/>
            </w:pPr>
            <w:r>
              <w:rPr>
                <w:rFonts w:ascii="Times New Roman"/>
                <w:b w:val="false"/>
                <w:i w:val="false"/>
                <w:color w:val="000000"/>
                <w:sz w:val="20"/>
              </w:rPr>
              <w:t>
для национальных высших учебных заведений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 не менее 40 %; 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не более 50%;</w:t>
            </w:r>
          </w:p>
          <w:p>
            <w:pPr>
              <w:spacing w:after="20"/>
              <w:ind w:left="20"/>
              <w:jc w:val="both"/>
            </w:pPr>
            <w:r>
              <w:rPr>
                <w:rFonts w:ascii="Times New Roman"/>
                <w:b w:val="false"/>
                <w:i w:val="false"/>
                <w:color w:val="000000"/>
                <w:sz w:val="20"/>
              </w:rPr>
              <w:t>
 для университетов, академий –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 не менее 30 %; 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и/или советника юстиции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(Примкулов А.А.)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6" w:id="1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Информационно-правовую систему "Әділет" и периодические печатные издания на электронном носителе с приложением бумажного экземпляра, заверенного гербовой печатью;</w:t>
      </w:r>
    </w:p>
    <w:bookmarkEnd w:id="13"/>
    <w:bookmarkStart w:name="z17" w:id="14"/>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14"/>
    <w:bookmarkStart w:name="z18" w:id="15"/>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15"/>
    <w:bookmarkStart w:name="z19" w:id="1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16"/>
    <w:bookmarkStart w:name="z20"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17"/>
    <w:bookmarkStart w:name="z21" w:id="1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образования и науки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Сагадиев </w:t>
            </w:r>
            <w:r>
              <w:rPr>
                <w:rFonts w:ascii="Times New Roman"/>
                <w:b w:val="false"/>
                <w:i w:val="false"/>
                <w:color w:val="000000"/>
                <w:sz w:val="20"/>
              </w:rPr>
              <w:t>
</w:t>
            </w:r>
          </w:p>
        </w:tc>
      </w:tr>
    </w:tbl>
    <w:p>
      <w:pPr>
        <w:spacing w:after="0"/>
        <w:ind w:left="0"/>
        <w:jc w:val="both"/>
      </w:pPr>
      <w:bookmarkStart w:name="z23"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____________________Д. Абаев</w:t>
      </w:r>
    </w:p>
    <w:p>
      <w:pPr>
        <w:spacing w:after="0"/>
        <w:ind w:left="0"/>
        <w:jc w:val="both"/>
      </w:pPr>
      <w:r>
        <w:rPr>
          <w:rFonts w:ascii="Times New Roman"/>
          <w:b w:val="false"/>
          <w:i w:val="false"/>
          <w:color w:val="000000"/>
          <w:sz w:val="28"/>
        </w:rPr>
        <w:t>27 сентября 2016 года</w:t>
      </w:r>
    </w:p>
    <w:p>
      <w:pPr>
        <w:spacing w:after="0"/>
        <w:ind w:left="0"/>
        <w:jc w:val="both"/>
      </w:pPr>
      <w:bookmarkStart w:name="z24"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____________________Ж. Асанов</w:t>
      </w:r>
    </w:p>
    <w:p>
      <w:pPr>
        <w:spacing w:after="0"/>
        <w:ind w:left="0"/>
        <w:jc w:val="both"/>
      </w:pPr>
      <w:r>
        <w:rPr>
          <w:rFonts w:ascii="Times New Roman"/>
          <w:b w:val="false"/>
          <w:i w:val="false"/>
          <w:color w:val="000000"/>
          <w:sz w:val="28"/>
        </w:rPr>
        <w:t>21 октября 2016 года</w:t>
      </w:r>
    </w:p>
    <w:p>
      <w:pPr>
        <w:spacing w:after="0"/>
        <w:ind w:left="0"/>
        <w:jc w:val="both"/>
      </w:pPr>
      <w:bookmarkStart w:name="z25"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и 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____________________Т. Дуйсенова</w:t>
      </w:r>
    </w:p>
    <w:p>
      <w:pPr>
        <w:spacing w:after="0"/>
        <w:ind w:left="0"/>
        <w:jc w:val="both"/>
      </w:pPr>
      <w:r>
        <w:rPr>
          <w:rFonts w:ascii="Times New Roman"/>
          <w:b w:val="false"/>
          <w:i w:val="false"/>
          <w:color w:val="000000"/>
          <w:sz w:val="28"/>
        </w:rPr>
        <w:t>10 октября 2016 года</w:t>
      </w:r>
    </w:p>
    <w:p>
      <w:pPr>
        <w:spacing w:after="0"/>
        <w:ind w:left="0"/>
        <w:jc w:val="both"/>
      </w:pPr>
      <w:bookmarkStart w:name="z26"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___________________С.Жасузаков</w:t>
      </w:r>
    </w:p>
    <w:p>
      <w:pPr>
        <w:spacing w:after="0"/>
        <w:ind w:left="0"/>
        <w:jc w:val="both"/>
      </w:pPr>
      <w:r>
        <w:rPr>
          <w:rFonts w:ascii="Times New Roman"/>
          <w:b w:val="false"/>
          <w:i w:val="false"/>
          <w:color w:val="000000"/>
          <w:sz w:val="28"/>
        </w:rPr>
        <w:t>12 октября 2016 года</w:t>
      </w:r>
    </w:p>
    <w:p>
      <w:pPr>
        <w:spacing w:after="0"/>
        <w:ind w:left="0"/>
        <w:jc w:val="both"/>
      </w:pPr>
      <w:bookmarkStart w:name="z27"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Министр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___________________А. Мухамедиулы</w:t>
      </w:r>
    </w:p>
    <w:p>
      <w:pPr>
        <w:spacing w:after="0"/>
        <w:ind w:left="0"/>
        <w:jc w:val="both"/>
      </w:pPr>
      <w:r>
        <w:rPr>
          <w:rFonts w:ascii="Times New Roman"/>
          <w:b w:val="false"/>
          <w:i w:val="false"/>
          <w:color w:val="000000"/>
          <w:sz w:val="28"/>
        </w:rPr>
        <w:t xml:space="preserve">6 октября 2016 года </w:t>
      </w:r>
    </w:p>
    <w:p>
      <w:pPr>
        <w:spacing w:after="0"/>
        <w:ind w:left="0"/>
        <w:jc w:val="both"/>
      </w:pPr>
      <w:bookmarkStart w:name="z28"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___________________К. Масимов</w:t>
      </w:r>
    </w:p>
    <w:p>
      <w:pPr>
        <w:spacing w:after="0"/>
        <w:ind w:left="0"/>
        <w:jc w:val="both"/>
      </w:pPr>
      <w:r>
        <w:rPr>
          <w:rFonts w:ascii="Times New Roman"/>
          <w:b w:val="false"/>
          <w:i w:val="false"/>
          <w:color w:val="000000"/>
          <w:sz w:val="28"/>
        </w:rPr>
        <w:t>17 октября 2016 года</w:t>
      </w:r>
    </w:p>
    <w:p>
      <w:pPr>
        <w:spacing w:after="0"/>
        <w:ind w:left="0"/>
        <w:jc w:val="both"/>
      </w:pPr>
      <w:bookmarkStart w:name="z29"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___________________К.В. Бишимбаев</w:t>
      </w:r>
    </w:p>
    <w:p>
      <w:pPr>
        <w:spacing w:after="0"/>
        <w:ind w:left="0"/>
        <w:jc w:val="both"/>
      </w:pPr>
      <w:r>
        <w:rPr>
          <w:rFonts w:ascii="Times New Roman"/>
          <w:b w:val="false"/>
          <w:i w:val="false"/>
          <w:color w:val="000000"/>
          <w:sz w:val="28"/>
        </w:rPr>
        <w:t>30 сентября 2016 года</w:t>
      </w:r>
    </w:p>
    <w:p>
      <w:pPr>
        <w:spacing w:after="0"/>
        <w:ind w:left="0"/>
        <w:jc w:val="both"/>
      </w:pPr>
      <w:bookmarkStart w:name="z30"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___________________К.Н. Касымов</w:t>
      </w:r>
    </w:p>
    <w:p>
      <w:pPr>
        <w:spacing w:after="0"/>
        <w:ind w:left="0"/>
        <w:jc w:val="both"/>
      </w:pPr>
      <w:r>
        <w:rPr>
          <w:rFonts w:ascii="Times New Roman"/>
          <w:b w:val="false"/>
          <w:i w:val="false"/>
          <w:color w:val="000000"/>
          <w:sz w:val="28"/>
        </w:rPr>
        <w:t>3 октября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