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6f9b" w14:textId="4516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учета финансовых услуг банков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 октября 2016 года № 226. Зарегистрирован в Министерстве юстиции Республики Казахстан 3 ноября 2016 года № 14393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«О государственной статистике», а также подпунктом 258)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финансовых услуг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в печатном и электронном виде в течение десяти календарных дней со дня получения зарегистрированного приказа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Комитета по статистике Министерства национальной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национальных счетов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(Орунханов К.К.).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статистике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Айдапкелов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статистике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2016 года № 226 </w:t>
      </w:r>
    </w:p>
    <w:bookmarkEnd w:id="1"/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учета финансовых услуг банков второго уровня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учета финансовых услуг банков второго уровня (далее - Методика) разработана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«О государственной статистике»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Комитетом по статистике Министерства национальной экономики Республики Казахстан (далее - Комитет) для учета финансовых услуг банков второго уровня, согласно международным стандартам, и исключительно для целей Системы национальных счетов (далее - СНС).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Целью настоящей Методики является приведение расчетов финансовых услуг банков второго уровня в соответствие с новой экономической ситуацией и последними достижениями методологических исследований. Данная Методика содействует повышению качества расчета валовой добавленной стоимости подсекции 64 «Финансовые услуги, за исключением услуг страховых и пенсионных фондов» в секции К «Финансовая и страховая деятельность».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качестве методологической основы использована Система национальных счетов 2008 года (СНС 2008), подготовленная Международным Валютным Фондом (МВФ), Организацией экономического сотрудничества и развития (ОЭСР), Статистическим бюро Европейских сообществ (Евростат), Организацией Объединенных Наций (ООН) и Всемирным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настоящей Методике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промежуточное потребление (ПП) – стоимость товаров и услуг, которые трансформируются или полностью потребляются в процессе производства в отчетном периоде. Потребление основного капитала не входит в состав промежуточного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валовая добавленная стоимость (ВДС) – характеризует конечный результат производственной деятельности и представляет собой ценность, добавленную обработкой в данном производственном процессе. Исчисляется на уровне отраслей как разность между выпуском товаров и услуг и промежуточным потреблением, включает потребленную в процессе производства стоимость основного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валовой внутренний продукт (ВВП) – один из важнейших показателей системы национальных счетов, характеризующий конечный результат экономической деятельности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косвенно измеряемые услуги финансового посредничества (КИУФП) - является косвенным показателем стоимости финансовых посреднических услуг при условии, что, финансовые учреждения не взимают прямой платы за услуги финансового посредничества;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система национальных счетов – представляет собой систему статистических показателей, построенную в виде определенного набора счетов и таблиц, характеризующих результаты экономической деятельности страны.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Методологический подход к расчету услуг финансовой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банков второго уровня в соответствии с СНС 2008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Корпорации или квазикорпорации-резиденты, осуществляющие функции финансового посредничества, вспомогательные финансовые услуги и другие финансовые услуги, относятся к сектору финансовых корпораций.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СНС 2008 года финансовые услуги включают услуги, связанные с мониторингом, обеспечением ликвидности, принятием риска, услуги по размещению ценных бумаг и услуги по обмену финансовыми инструментами.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Подсекторы сектора «Финансовые корпорации»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центральный банк;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корпорации, принимающие депозиты, кроме центрального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фонды денежного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инвестиционные фонды неденежного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других финансовых посредников, кроме страховых корпораций и пенсионных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вспомогательные финансовые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кэптивные финансовые учреждения и ростовщиков;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страховые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пенсионные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Банки второго уровня по СНС 2008 относятся к подсектору «корпорации, принимающие депозиты, кроме центрального банка» и являются финансовыми коммерческими организациями. Основными функциями данных корпораций являются оказание услуг финансового посредничества и вспомогательных финансовых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Финансовые учреждения за услуги финансового посредничества не взимают прямой платы. Оплата данных услуг включена в неявной форме либо в проценты, уплачиваемые заемщиками средств, либо она взимается в неявной форме с институциональных единиц, ссужающих финансовым учреждениям ресурсы, путем применения для них более низких ставок процентов. В СНС стоимость выпуска услуг финансового посредничества исчисляется косвенным методом (КИУФП).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 вспомогательные финансовые услуги взимается прямая оплата в виде комиссионных платежей. Их выпуск определяется в размере этой оплаты. Вспомогательная деятельность осуществляется внутри организации, с целью создания условий для нормального осуществления его основной или вторичной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банков второго уровня равен сумме выпусков услуг финансового посредничества и выпуску вспомогательных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Вспомогательные финансовые услуги оказывают клиентам все финансовые учреждения. Для одних это является основной деятельностью, а для других - вторичной деятельностью в дополнение к предоставлению услуг финансового посредничества.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Финансовые услуги оплачиваются в явной и неявной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оплату финансовых услуг в явной форме включена маржа по сделкам с иностранной валютой и ценными бумагами. Маржа рассчитывается за разницей между курсами продавца и покупателя. Маржа является для банка источником дохода и покрывает расходы по осуществлению сделки и страхует валютный риск.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Существует два вида котировки: прямая и косвенная. Большинство стран пользуется прямой котировкой. При прямой котировке - стоимость единицы иностранной валюты выражается в национальной денежной единице. При косвенной котировке - за единицу принята национальная денежная единица, курс выражается в определенном количестве иностранной валюты.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Большое число услуг в явной форме предоставляются различными категориями финансовых учреждений. Учреждения, принимающие депозиты, в частности банки, взимают плату с домохозяйств за оформление ипотеки, управление инвестиционным портфелем, предоставление налоговых консультаций, управление недвижимостью.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финансовые учреждения взимают с нефинансовых корпораций за организацию размещения акций или за управление реструктуризации группы корпораций. Наиболее распространенной прямой платой является плата, взимаемая эмитентами кредитных карт с подразделений, принимающих к оплате кредитные карты как средство платежа за предоставляемые товары 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Оплата рассчитывается как процент от продажи, при розничной торговле объем продаж соответствует обороту, а не выпуску. Процент мал в абсолютной величине (один или два процента) и применение его для крупных сумм, означает, что общая сумма платежа будет велика. Данный платеж представляет выпуск компаний, выпускающих кредитные карты, и промежуточное потребление компаний, выпускающих кредитные карты в качестве платежного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Игнорирование роли компаний, выпускающих кредитные карты не влияет на измерение расходов на товары и услуги (конечное потребление или экспорт), но уменьшает затраты поставщика товаров и услуг и выпуск компаний, выпускающих кредитные карты. Это приводит к перераспределению добавленной стоимости от компаний, выпускающих кредитные карты, к поставщикам товаров и услуг, оплачивающих с помощью кредитных карт (СНС 2008, 6.161).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Пример с компаниями, выпускающими кредитные карты, наглядно демонстрирует, что финансовая корпорация предоставляет услуги, оплачивающиеся за счет различных средств различных клиентов или в различных обстоятельствах. С держателя карты взимается явная плата за использование карты. При использовании кредитов держатель карт осуществляет платеж в неявной форме, связанный с выплатой процентов непогашенных кредитов (рассматривается как ссуда в СНС) (СНС 2008, 6.162).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Банки второго уровня наряду с их основной деятельностью (посредническая деятельность) осуществляют разные вспомогательные операции, включающие множество услуг тесно связанных с финансовым посредничеством.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Банки второго уровня осуществляют банковские и иные операции,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клиентам подобных услуг финансовые учреждения получают оплату в виде комиссий или иных платежей, связанных с банковской деятельностью.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Расчет валового выпуска и промежуточного потребления</w:t>
      </w:r>
      <w:r>
        <w:br/>
      </w:r>
      <w:r>
        <w:rPr>
          <w:rFonts w:ascii="Times New Roman"/>
          <w:b/>
          <w:i w:val="false"/>
          <w:color w:val="000000"/>
        </w:rPr>
        <w:t>
услуг финансовой деятельности банков второго уровня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Расчет валового выпуска услуг финансовой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банков второго уровня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ВВП рассчитывается тремя методами: методом производства, методом доходов, методом конечного использования. Основными составляющими ВВП методом производства являются – валовой выпуск, промежуточное потребление, валовая добавленная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Выпуск финансовых учреждений (банков) складывается из выпуска КИУФП и выпуска вспомогательных финансовых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источника данных для расчета выпуска вспомогательных финансовых услуг банков второго уровня является общедоступная информация, размещенная на сайте центрального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отчете о доходах и расходах банков отражаются доходы от следующих вспомогательных финансовых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комиссионные доходы по займам;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доходы по амортизации дисконта, премии и вознаграждения по займам и прочим долговым инструментам;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доходы, связанные с получением вознаграждения по прочим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комиссионные доходы;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прочие доходы от банковской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доходы по купле-продаже ценных бумаг, иностранной валюты, драгоценных металлов.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Выпуск, связанный с деятельностью, касающийся операций продажи и покупки ценных бумаг и всех типов сделок, связанных с иностранной валютой (в том числе фьючерсов и опционов) оценивается в сумму за разницей между ценой покупки и 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Вспомогательные финансовые услуги, за которые взимается прямая плата в виде комиссионных платежей, учитываются как выпуск СНС. Статьи, включенные в выпуск услуг финансовой деятельности банков второго уровня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Расчет промежуточного потребления услуг финансовой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банков второго уровня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качестве источника данных для расчета промежуточного потребления финансовых услуг банков второго уровня используется общедоступная информация, размещенная на официальном сайте центрального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Многие статьи расходов являются комплексными. Из данных статей выделяются соответствующие части, связанные с промежуточным потреблением. В состав расходов на деловые поездки расходов для платы за проезд и проживание, платежей за визы и различных сборы, связанные с командировками относятся к промежуточному потреблению.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Некоторые статьи расходов содержат значения сделок, связанных с финансовыми инструментами, или результаты их переоценки, не входящие в состав текущих расходов и промежуточного потребления в частности.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Промежуточное потребление вспомогательных услуг складывается из следующих статей отчета: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расходы по амортизации дисконта, премии и вознаграждения по займам;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по операциям с ценными бумагами;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комиссионные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общехозяйственные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 от 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прочие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Разность между выпуском и промежуточным потреблением определяет ВДС банков. Расчеты промежуточного потребления и ВДС услуг финансовой деятельности банков второго уровня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учета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банков второго уровня 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Расчет выпуска услуг финансовой деятельности банков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второго уровня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млн.тенге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5428"/>
        <w:gridCol w:w="2286"/>
        <w:gridCol w:w="2286"/>
        <w:gridCol w:w="2286"/>
      </w:tblGrid>
      <w:tr>
        <w:trPr>
          <w:trHeight w:val="43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счета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«Отчет о доходах и расходах по банкам второго уровня РК»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42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Комиссионное вознаграждение по займам, предоставленным клиентам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17 268,0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25 459,5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19 783,0</w:t>
            </w:r>
          </w:p>
        </w:tc>
      </w:tr>
      <w:tr>
        <w:trPr>
          <w:trHeight w:val="36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дисконта по займам, предоставленным клиентам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55 444,0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73 674,5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95 348,3</w:t>
            </w:r>
          </w:p>
        </w:tc>
      </w:tr>
      <w:tr>
        <w:trPr>
          <w:trHeight w:val="40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премии по вкладам, привлеченным от клиентов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1 059,7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59 537,4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финансовым активам, переданным в доверительное (трастовое) управление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дисконта по приобретенным ценным бумагам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3 483,6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3 515,4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премии по выпущенным в обращение ценным бумагам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2 459,7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1 603,3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премии по выпущенным в обращение субординированным облигациям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61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дисконта по прочим долговым инструментам в категории «займы и дебиторская задолженность»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1 143,3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купле-продаже ценных бумаг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2 952,3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купле-продаже иностранной валюты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116 318,0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155 054,5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369 052,8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купле-продаже драгоценных металлов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27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Комиссионные доходы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283 803,5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295 868,8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311 937,9</w:t>
            </w:r>
          </w:p>
        </w:tc>
      </w:tr>
      <w:tr>
        <w:trPr>
          <w:trHeight w:val="24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переводным операциям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60 532,0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64 846,2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66 651,7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агентские услуги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20 025,5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15 985,4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16 940,4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купле-продаже ценных бумаг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купле-продаже иностранной валюты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9 012,9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11 232,5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8 592,6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доверительным операциям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721,9</w:t>
            </w:r>
          </w:p>
        </w:tc>
      </w:tr>
      <w:tr>
        <w:trPr>
          <w:trHeight w:val="45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операциям с гарантиями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26 692,5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20 580,2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21 701,3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23 616,5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27 076,9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28 929,6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комиссионные доходы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77 528,0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98 922,4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113 635,3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по профессиональной деятельности на рынке ценных бумаг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2 031,8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1 216,3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доходы, полученные за акцепт платежных документов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кассовым операциям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46 022,7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42 082,5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по документарным расчетам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11 301,3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6 460,5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5 956,7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форфейтинговым операциям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факторинговым операциям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инкассации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1 854,1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купле-продаже аффинированных драгоценных металлов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сейфовым операциям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698,6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за услуги по операциям с инвестиционными депозитами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2 925,9</w:t>
            </w:r>
          </w:p>
        </w:tc>
      </w:tr>
      <w:tr>
        <w:trPr>
          <w:trHeight w:val="16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114 303,3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205 475,1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36 846,4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банковской деятельности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107 647,7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200 783,2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31 244,1</w:t>
            </w:r>
          </w:p>
        </w:tc>
      </w:tr>
      <w:tr>
        <w:trPr>
          <w:trHeight w:val="22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неосновной деятельности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6 655,6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4 691,9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5 602,4</w:t>
            </w:r>
          </w:p>
        </w:tc>
      </w:tr>
      <w:tr>
        <w:trPr>
          <w:trHeight w:val="18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выпуск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595 204,8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765 479,1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903 891,7</w:t>
            </w:r>
          </w:p>
        </w:tc>
      </w:tr>
    </w:tbl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учета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банков второго уровня 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Расчет промежуточного 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услуг финансовой деятельности банков второго уровня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млн.тенге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6206"/>
        <w:gridCol w:w="2165"/>
        <w:gridCol w:w="2165"/>
        <w:gridCol w:w="2166"/>
      </w:tblGrid>
      <w:tr>
        <w:trPr>
          <w:trHeight w:val="31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счета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«Отчет о доходах и расходах по банкам второго уровня РК»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1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дисконта по полученным займам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11 567,8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11 552,7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4 495,7</w:t>
            </w:r>
          </w:p>
        </w:tc>
      </w:tr>
      <w:tr>
        <w:trPr>
          <w:trHeight w:val="12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премии по займам, предоставленным другим банкам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премии по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Комиссионное вознаграждение по займам, полученным от других банков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купле-продаже ценных бумаг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1 098,8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купле-продаже иностранной валюты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68 500,5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80 448,1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299 112,7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купле-продаже драгоценных металлов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1 001,7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Комиссионные расходы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30 261,5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35 252,8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41 576,9</w:t>
            </w:r>
          </w:p>
        </w:tc>
      </w:tr>
      <w:tr>
        <w:trPr>
          <w:trHeight w:val="31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расходы по полученным услугам по переводным операциям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3 066,7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3 956,5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расходы по полученным агентским услугам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5 539,0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7 985,9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14 259,1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расходы по полученным услугам по купле-продаже ценных бумаг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расходы по полученным услугам по купле-продаже иностранной валюты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1 097,3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расходы по полученным услугам по доверительным операциям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219,1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расходы по полученным услугам по гарантиям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3 511,9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1 383,9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расходы по полученным услугам по карт-счетам клиентов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7 311,8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8 461,6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9 856,2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комиссионные расходы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9 511,0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9 113,1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расходы по профессиональной деятельности на рынке ценных бумаг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964,7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Общехозяйственные расходы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120 175,9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145 908,5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126 845,8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расходы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2 279,0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3 568,7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25 404,2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29 007,6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29 707,2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инкассацию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7 267,0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ремонт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4 868,9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5 252,4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4 770,3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рекламу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11 301,6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11 634,3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охрану и сигнализацию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10 484,5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11 016,2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расходы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392,7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общехозяйственные расходы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4 024,9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6 514,7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6 968,8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служебные командировки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3 789,4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4 740,1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3 744,4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аудиту и консультационным услугам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16 209,9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24 937,8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6 135,1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страхованию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2 385,3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2 739,9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4 524,9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услугам связи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9 533,7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9 456,0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виде взносов в акционерное общество "Казахстанский фонд гарантирования депозитов"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25 436,1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30 202,1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27 660,2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5850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от продажи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7 598,1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14 752,3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6 384,9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продажи акций дочерних и зависимых организаций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3 234,5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реализации основных средств и нематериальных активов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7 212,4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2 217,2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безвозмездной передачи основных средств и нематериальных активов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реализации товарно-материальных запасов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13 010,6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919,5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реализации прочих инвестиций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5920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55 441,9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70 702,9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123 236,6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 от банковской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20 204,8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27 064,0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86 165,1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 от неосновной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8 483,2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14 947,0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8 085,9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аренде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24 887,0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26 816,7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27 296,6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акцептов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полученным банком гарантиям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93,7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привилегированным акциям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1 866,8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1 812,8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1 595,2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промежуточное потребление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295 559,7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360 341,0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602 847,7</w:t>
            </w:r>
          </w:p>
        </w:tc>
      </w:tr>
    </w:tbl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учета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банков второго уровня 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Расчет валовой добавленной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услуг финансовой деятельности банков второго уровня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млн.тенге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6"/>
        <w:gridCol w:w="2121"/>
        <w:gridCol w:w="2121"/>
        <w:gridCol w:w="2122"/>
      </w:tblGrid>
      <w:tr>
        <w:trPr>
          <w:trHeight w:val="315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компонента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15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выпуск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595 204,8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765 479,1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903 891,7</w:t>
            </w:r>
          </w:p>
        </w:tc>
      </w:tr>
      <w:tr>
        <w:trPr>
          <w:trHeight w:val="12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Промежуточное потребление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295 559,7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360 341,0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602 847,7</w:t>
            </w:r>
          </w:p>
        </w:tc>
      </w:tr>
      <w:tr>
        <w:trPr>
          <w:trHeight w:val="15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 добавленная стоимость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299 645,1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405 138,1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