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95de" w14:textId="9ef9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показателей брака (супружества) и расторжения брака (супружества)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28 сентября 2016 года № 219. Зарегистрирован в Министерстве юстиции Республики Казахстан 28 октября 2016 года № 14380.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с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показателей брака (супружества) и расторжения брака (супружества).</w:t>
      </w:r>
    </w:p>
    <w:bookmarkEnd w:id="1"/>
    <w:bookmarkStart w:name="z3" w:id="2"/>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государственной регистрации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(Орынханов К.К.).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2016 года № 219</w:t>
            </w:r>
          </w:p>
        </w:tc>
      </w:tr>
    </w:tbl>
    <w:bookmarkStart w:name="z8" w:id="6"/>
    <w:p>
      <w:pPr>
        <w:spacing w:after="0"/>
        <w:ind w:left="0"/>
        <w:jc w:val="left"/>
      </w:pPr>
      <w:r>
        <w:rPr>
          <w:rFonts w:ascii="Times New Roman"/>
          <w:b/>
          <w:i w:val="false"/>
          <w:color w:val="000000"/>
        </w:rPr>
        <w:t xml:space="preserve"> Методика расчета показателей брака (супружества)</w:t>
      </w:r>
      <w:r>
        <w:br/>
      </w:r>
      <w:r>
        <w:rPr>
          <w:rFonts w:ascii="Times New Roman"/>
          <w:b/>
          <w:i w:val="false"/>
          <w:color w:val="000000"/>
        </w:rPr>
        <w:t>и расторжения брака (супружества)</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Методика расчета показателей брака (супружества) и расторжения брака (супружества)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Настоящая Методика определяет методы расчета показателей брака (супружества) и расторжения брака (супружества) (далее – брачность и разводимость, развод) с использованием административных данных.</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Настоящая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Брачность и разводимость являются важными демографическими процессами и определяют формирование и распад семей, в значительной степени оказывают воздействие на рождаемость. Расчетные показатели брачности и разводимости используются при анализе социально-демографического развития страны.</w:t>
      </w:r>
    </w:p>
    <w:bookmarkEnd w:id="10"/>
    <w:bookmarkStart w:name="z14" w:id="11"/>
    <w:p>
      <w:pPr>
        <w:spacing w:after="0"/>
        <w:ind w:left="0"/>
        <w:jc w:val="both"/>
      </w:pPr>
      <w:r>
        <w:rPr>
          <w:rFonts w:ascii="Times New Roman"/>
          <w:b w:val="false"/>
          <w:i w:val="false"/>
          <w:color w:val="000000"/>
          <w:sz w:val="28"/>
        </w:rPr>
        <w:t>
      5. В настоящей Методике используются следующие определения:</w:t>
      </w:r>
    </w:p>
    <w:bookmarkEnd w:id="11"/>
    <w:bookmarkStart w:name="z15" w:id="12"/>
    <w:p>
      <w:pPr>
        <w:spacing w:after="0"/>
        <w:ind w:left="0"/>
        <w:jc w:val="both"/>
      </w:pPr>
      <w:r>
        <w:rPr>
          <w:rFonts w:ascii="Times New Roman"/>
          <w:b w:val="false"/>
          <w:i w:val="false"/>
          <w:color w:val="000000"/>
          <w:sz w:val="28"/>
        </w:rPr>
        <w:t>
      1) общий коэффициент разводимости – число разводов в расчете на 1000 человек среднегодового населения;</w:t>
      </w:r>
    </w:p>
    <w:bookmarkEnd w:id="12"/>
    <w:bookmarkStart w:name="z16" w:id="13"/>
    <w:p>
      <w:pPr>
        <w:spacing w:after="0"/>
        <w:ind w:left="0"/>
        <w:jc w:val="both"/>
      </w:pPr>
      <w:r>
        <w:rPr>
          <w:rFonts w:ascii="Times New Roman"/>
          <w:b w:val="false"/>
          <w:i w:val="false"/>
          <w:color w:val="000000"/>
          <w:sz w:val="28"/>
        </w:rPr>
        <w:t>
      2) повозрастный (возрастной) коэффициент разводимости – отношение числа разводов мужчин (женщин) данного возраста к средней численности мужчин (женщин), состоящих в браке;</w:t>
      </w:r>
    </w:p>
    <w:bookmarkEnd w:id="13"/>
    <w:bookmarkStart w:name="z17" w:id="14"/>
    <w:p>
      <w:pPr>
        <w:spacing w:after="0"/>
        <w:ind w:left="0"/>
        <w:jc w:val="both"/>
      </w:pPr>
      <w:r>
        <w:rPr>
          <w:rFonts w:ascii="Times New Roman"/>
          <w:b w:val="false"/>
          <w:i w:val="false"/>
          <w:color w:val="000000"/>
          <w:sz w:val="28"/>
        </w:rPr>
        <w:t>
      3) повторные браки – браки, заключаемые разведенными и овдовевшими;</w:t>
      </w:r>
    </w:p>
    <w:bookmarkEnd w:id="14"/>
    <w:bookmarkStart w:name="z18" w:id="15"/>
    <w:p>
      <w:pPr>
        <w:spacing w:after="0"/>
        <w:ind w:left="0"/>
        <w:jc w:val="both"/>
      </w:pPr>
      <w:r>
        <w:rPr>
          <w:rFonts w:ascii="Times New Roman"/>
          <w:b w:val="false"/>
          <w:i w:val="false"/>
          <w:color w:val="000000"/>
          <w:sz w:val="28"/>
        </w:rPr>
        <w:t>
      4) брачное состояние – статус мужчины или женщины, связанный с нахождением ими в той или иной брачной категории;</w:t>
      </w:r>
    </w:p>
    <w:bookmarkEnd w:id="15"/>
    <w:bookmarkStart w:name="z19" w:id="16"/>
    <w:p>
      <w:pPr>
        <w:spacing w:after="0"/>
        <w:ind w:left="0"/>
        <w:jc w:val="both"/>
      </w:pPr>
      <w:r>
        <w:rPr>
          <w:rFonts w:ascii="Times New Roman"/>
          <w:b w:val="false"/>
          <w:i w:val="false"/>
          <w:color w:val="000000"/>
          <w:sz w:val="28"/>
        </w:rPr>
        <w:t>
      5) брачностъ – процесс образования брачных (супружеских) пар в населении;</w:t>
      </w:r>
    </w:p>
    <w:bookmarkEnd w:id="16"/>
    <w:bookmarkStart w:name="z20" w:id="17"/>
    <w:p>
      <w:pPr>
        <w:spacing w:after="0"/>
        <w:ind w:left="0"/>
        <w:jc w:val="both"/>
      </w:pPr>
      <w:r>
        <w:rPr>
          <w:rFonts w:ascii="Times New Roman"/>
          <w:b w:val="false"/>
          <w:i w:val="false"/>
          <w:color w:val="000000"/>
          <w:sz w:val="28"/>
        </w:rPr>
        <w:t xml:space="preserve">
      6) бракоспособное население – мужчины и женщины </w:t>
      </w:r>
      <w:r>
        <w:rPr>
          <w:rFonts w:ascii="Times New Roman"/>
          <w:b w:val="false"/>
          <w:i w:val="false"/>
          <w:color w:val="000000"/>
          <w:sz w:val="28"/>
        </w:rPr>
        <w:t>брачного возраста</w:t>
      </w:r>
      <w:r>
        <w:rPr>
          <w:rFonts w:ascii="Times New Roman"/>
          <w:b w:val="false"/>
          <w:i w:val="false"/>
          <w:color w:val="000000"/>
          <w:sz w:val="28"/>
        </w:rPr>
        <w:t>, не состоящие в браке;</w:t>
      </w:r>
    </w:p>
    <w:bookmarkEnd w:id="17"/>
    <w:bookmarkStart w:name="z21" w:id="18"/>
    <w:p>
      <w:pPr>
        <w:spacing w:after="0"/>
        <w:ind w:left="0"/>
        <w:jc w:val="both"/>
      </w:pPr>
      <w:r>
        <w:rPr>
          <w:rFonts w:ascii="Times New Roman"/>
          <w:b w:val="false"/>
          <w:i w:val="false"/>
          <w:color w:val="000000"/>
          <w:sz w:val="28"/>
        </w:rPr>
        <w:t>
      7) общий коэффициент брачности – число браков в расчете на 1000 человек среднегодового населения;</w:t>
      </w:r>
    </w:p>
    <w:bookmarkEnd w:id="18"/>
    <w:bookmarkStart w:name="z22" w:id="19"/>
    <w:p>
      <w:pPr>
        <w:spacing w:after="0"/>
        <w:ind w:left="0"/>
        <w:jc w:val="both"/>
      </w:pPr>
      <w:r>
        <w:rPr>
          <w:rFonts w:ascii="Times New Roman"/>
          <w:b w:val="false"/>
          <w:i w:val="false"/>
          <w:color w:val="000000"/>
          <w:sz w:val="28"/>
        </w:rPr>
        <w:t>
      8) повозрастный (возрастной) коэффициент брачности – отношение числа браков мужчин (женщин) к средней численности мужчин (женщин) этого возраста, не состоящих в браке;</w:t>
      </w:r>
    </w:p>
    <w:bookmarkEnd w:id="19"/>
    <w:bookmarkStart w:name="z23"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расторжение</w:t>
      </w:r>
      <w:r>
        <w:rPr>
          <w:rFonts w:ascii="Times New Roman"/>
          <w:b w:val="false"/>
          <w:i w:val="false"/>
          <w:color w:val="000000"/>
          <w:sz w:val="28"/>
        </w:rPr>
        <w:t xml:space="preserve"> брака (супружества) – прекращение брака (супружества)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20"/>
    <w:bookmarkStart w:name="z24" w:id="21"/>
    <w:p>
      <w:pPr>
        <w:spacing w:after="0"/>
        <w:ind w:left="0"/>
        <w:jc w:val="left"/>
      </w:pPr>
      <w:r>
        <w:rPr>
          <w:rFonts w:ascii="Times New Roman"/>
          <w:b/>
          <w:i w:val="false"/>
          <w:color w:val="000000"/>
        </w:rPr>
        <w:t xml:space="preserve"> Глава 2. Источники информации</w:t>
      </w:r>
    </w:p>
    <w:bookmarkEnd w:id="21"/>
    <w:bookmarkStart w:name="z25" w:id="22"/>
    <w:p>
      <w:pPr>
        <w:spacing w:after="0"/>
        <w:ind w:left="0"/>
        <w:jc w:val="both"/>
      </w:pPr>
      <w:r>
        <w:rPr>
          <w:rFonts w:ascii="Times New Roman"/>
          <w:b w:val="false"/>
          <w:i w:val="false"/>
          <w:color w:val="000000"/>
          <w:sz w:val="28"/>
        </w:rPr>
        <w:t>
      6. Основным источником данных о брачности и разводимости являются переписи населения, проводимые один раз в десять лет. Итоги переписи населения позволяют получить наиболее точные данные о брачном состоянии мужчин и женщин в возрасте пятнадцать лет и старше в сочетании с возрастом и уровнем образования, а также данные о числе и размере семей.</w:t>
      </w:r>
    </w:p>
    <w:bookmarkEnd w:id="22"/>
    <w:bookmarkStart w:name="z26" w:id="23"/>
    <w:p>
      <w:pPr>
        <w:spacing w:after="0"/>
        <w:ind w:left="0"/>
        <w:jc w:val="both"/>
      </w:pPr>
      <w:r>
        <w:rPr>
          <w:rFonts w:ascii="Times New Roman"/>
          <w:b w:val="false"/>
          <w:i w:val="false"/>
          <w:color w:val="000000"/>
          <w:sz w:val="28"/>
        </w:rPr>
        <w:t>
      7. Источником информации о браках и разводах являются: актовые записи органов регистрации актов гражданского состояния и сведения о вступивших в законную силу решениях суда о расторжении брака, представляемые судом в органы регистрации актов гражданского состояния.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8. Из сведений, содержащихся в актах о заключении брака, в статистической разработке используются дата и место регистрации, для каждого из вступающих в брак: их дата рождения, возраст, гражданство, прежнее брачное состояние, национальность, уровень образования, место постоянного жительства.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9. Из сведений, содержащихся в записи акта о расторжении брака, в статистической разработке используются дата и место регистрации акта о расторжении брака, дата заключения расторгаемого брака, для каждого из супругов и их дата рождения, возраст, гражданство, место постоянного жительства, национальность, уровень образования, в каком по счету браке состоял, число общих детей в возрасте до восемнадцати лет и документ, являющийся основанием для расторжения брака (супружества).</w:t>
      </w:r>
    </w:p>
    <w:bookmarkEnd w:id="25"/>
    <w:bookmarkStart w:name="z29" w:id="26"/>
    <w:p>
      <w:pPr>
        <w:spacing w:after="0"/>
        <w:ind w:left="0"/>
        <w:jc w:val="left"/>
      </w:pPr>
      <w:r>
        <w:rPr>
          <w:rFonts w:ascii="Times New Roman"/>
          <w:b/>
          <w:i w:val="false"/>
          <w:color w:val="000000"/>
        </w:rPr>
        <w:t xml:space="preserve"> Глава 3. Расчет основных показателей брачности</w:t>
      </w:r>
    </w:p>
    <w:bookmarkEnd w:id="26"/>
    <w:bookmarkStart w:name="z30" w:id="27"/>
    <w:p>
      <w:pPr>
        <w:spacing w:after="0"/>
        <w:ind w:left="0"/>
        <w:jc w:val="both"/>
      </w:pPr>
      <w:r>
        <w:rPr>
          <w:rFonts w:ascii="Times New Roman"/>
          <w:b w:val="false"/>
          <w:i w:val="false"/>
          <w:color w:val="000000"/>
          <w:sz w:val="28"/>
        </w:rPr>
        <w:t>
      10. Бюро по текущей статистике формирует число браков, общий коэффициент брачности, число браков по возрасту, по брачному состоянию, средний возраст мужчин и женщин вступивших в первый брак и межэтнические браки. По итогам переписи населения формируется статистическая информация по численности населения по состоянию в браке.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11. Общий коэффициент брачности рассчитывается по следующей формуле:</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CNR – общий коэффициент брачности;</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P – средняя численность населения.</w:t>
      </w:r>
    </w:p>
    <w:bookmarkStart w:name="z32" w:id="29"/>
    <w:p>
      <w:pPr>
        <w:spacing w:after="0"/>
        <w:ind w:left="0"/>
        <w:jc w:val="both"/>
      </w:pPr>
      <w:r>
        <w:rPr>
          <w:rFonts w:ascii="Times New Roman"/>
          <w:b w:val="false"/>
          <w:i w:val="false"/>
          <w:color w:val="000000"/>
          <w:sz w:val="28"/>
        </w:rPr>
        <w:t>
      12. Специальный коэффициент брачности рассчитывается отдельно для всего населения брачного возраста, а также для бракоспособного населения (отдельно для мужчин и женщин). Также, рассчитывают и специальные коэффициенты брачности для первых браков. Данные о брачной структуре населения получают только по итогам переписи населения, специальные коэффициенты брачности рассчитываются по данным переписей населения. Специальный коэффициент брачности для всего населения имеет следующий вид:</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16</w:t>
      </w:r>
      <w:r>
        <w:rPr>
          <w:rFonts w:ascii="Times New Roman"/>
          <w:b w:val="false"/>
          <w:i w:val="false"/>
          <w:color w:val="000000"/>
          <w:sz w:val="28"/>
        </w:rPr>
        <w:t xml:space="preserve"> – среднегодовая численность населения брачного возраста.</w:t>
      </w:r>
    </w:p>
    <w:p>
      <w:pPr>
        <w:spacing w:after="0"/>
        <w:ind w:left="0"/>
        <w:jc w:val="both"/>
      </w:pPr>
      <w:r>
        <w:rPr>
          <w:rFonts w:ascii="Times New Roman"/>
          <w:b w:val="false"/>
          <w:i w:val="false"/>
          <w:color w:val="000000"/>
          <w:sz w:val="28"/>
        </w:rPr>
        <w:t>
      Специальные коэффициенты брачности для бракоспособного населения имеют следующий вид: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заключенных браков;</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w:t>
      </w:r>
      <w:r>
        <w:rPr>
          <w:rFonts w:ascii="Times New Roman"/>
          <w:b w:val="false"/>
          <w:i w:val="false"/>
          <w:color w:val="000000"/>
          <w:sz w:val="28"/>
        </w:rPr>
        <w:t xml:space="preserve"> – среднегодовая численность бракоспособного населения в брачном возрасте.</w:t>
      </w:r>
    </w:p>
    <w:p>
      <w:pPr>
        <w:spacing w:after="0"/>
        <w:ind w:left="0"/>
        <w:jc w:val="both"/>
      </w:pPr>
      <w:r>
        <w:rPr>
          <w:rFonts w:ascii="Times New Roman"/>
          <w:b w:val="false"/>
          <w:i w:val="false"/>
          <w:color w:val="000000"/>
          <w:sz w:val="28"/>
        </w:rPr>
        <w:t>
      13. Повозрастный (возрастной) коэффициент брачности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3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ASNR</w:t>
      </w:r>
      <w:r>
        <w:rPr>
          <w:rFonts w:ascii="Times New Roman"/>
          <w:b w:val="false"/>
          <w:i w:val="false"/>
          <w:color w:val="000000"/>
          <w:vertAlign w:val="subscript"/>
        </w:rPr>
        <w:t>х</w:t>
      </w:r>
      <w:r>
        <w:rPr>
          <w:rFonts w:ascii="Times New Roman"/>
          <w:b w:val="false"/>
          <w:i w:val="false"/>
          <w:color w:val="000000"/>
          <w:sz w:val="28"/>
        </w:rPr>
        <w:t xml:space="preserve"> – повозрастной коэффициент брачности;</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число браков в возрасте "х" лет;</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среднегодовая численность бракоспособного населения в возрасте "х" лет.</w:t>
      </w:r>
    </w:p>
    <w:bookmarkStart w:name="z33" w:id="30"/>
    <w:p>
      <w:pPr>
        <w:spacing w:after="0"/>
        <w:ind w:left="0"/>
        <w:jc w:val="both"/>
      </w:pPr>
      <w:r>
        <w:rPr>
          <w:rFonts w:ascii="Times New Roman"/>
          <w:b w:val="false"/>
          <w:i w:val="false"/>
          <w:color w:val="000000"/>
          <w:sz w:val="28"/>
        </w:rPr>
        <w:t>
      14. Суммарный коэффициент брачности вычисляется путем суммирования возрастных коэффициентов брачности, который рассчитывается отдельно для мужчин и женщин.</w:t>
      </w:r>
    </w:p>
    <w:bookmarkEnd w:id="30"/>
    <w:bookmarkStart w:name="z34" w:id="31"/>
    <w:p>
      <w:pPr>
        <w:spacing w:after="0"/>
        <w:ind w:left="0"/>
        <w:jc w:val="both"/>
      </w:pPr>
      <w:r>
        <w:rPr>
          <w:rFonts w:ascii="Times New Roman"/>
          <w:b w:val="false"/>
          <w:i w:val="false"/>
          <w:color w:val="000000"/>
          <w:sz w:val="28"/>
        </w:rPr>
        <w:t>
      15. Средний возраст вступления в брак рассчитывается на основе данных переписи и данных текущего учета. При расчете по данным текущего учета используются данные о распределении по возрасту вступивших в брак в текущем году. Возможен расчет нескольких показателей.</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55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МАМ – средний возраст вступления в брак;</w:t>
      </w:r>
    </w:p>
    <w:p>
      <w:pPr>
        <w:spacing w:after="0"/>
        <w:ind w:left="0"/>
        <w:jc w:val="both"/>
      </w:pPr>
      <w:r>
        <w:rPr>
          <w:rFonts w:ascii="Times New Roman"/>
          <w:b w:val="false"/>
          <w:i w:val="false"/>
          <w:color w:val="000000"/>
          <w:sz w:val="28"/>
        </w:rPr>
        <w:t>
      х – возраст вступления в брак каждого жениха или невесты;</w:t>
      </w:r>
    </w:p>
    <w:p>
      <w:pPr>
        <w:spacing w:after="0"/>
        <w:ind w:left="0"/>
        <w:jc w:val="both"/>
      </w:pPr>
      <w:r>
        <w:rPr>
          <w:rFonts w:ascii="Times New Roman"/>
          <w:b w:val="false"/>
          <w:i w:val="false"/>
          <w:color w:val="000000"/>
          <w:sz w:val="28"/>
        </w:rPr>
        <w:t>
      Nx – число вступивших в брак в этом возрасте.</w:t>
      </w:r>
    </w:p>
    <w:p>
      <w:pPr>
        <w:spacing w:after="0"/>
        <w:ind w:left="0"/>
        <w:jc w:val="both"/>
      </w:pPr>
      <w:r>
        <w:rPr>
          <w:rFonts w:ascii="Times New Roman"/>
          <w:b w:val="false"/>
          <w:i w:val="false"/>
          <w:color w:val="000000"/>
          <w:sz w:val="28"/>
        </w:rPr>
        <w:t>
      К точному возрасту "х" лет прибавляется 0,5 года в силу известной особенности возраста как статистической переменной. Вышеприведенная формула используется тогда, когда известен каждый индивидуальный возраст женихов и невест.</w:t>
      </w:r>
    </w:p>
    <w:bookmarkStart w:name="z35" w:id="32"/>
    <w:p>
      <w:pPr>
        <w:spacing w:after="0"/>
        <w:ind w:left="0"/>
        <w:jc w:val="both"/>
      </w:pPr>
      <w:r>
        <w:rPr>
          <w:rFonts w:ascii="Times New Roman"/>
          <w:b w:val="false"/>
          <w:i w:val="false"/>
          <w:color w:val="000000"/>
          <w:sz w:val="28"/>
        </w:rPr>
        <w:t>
      16. Коэффициенты повторных браков рассчитываются по аналогии с коэффициентами первых браков, на основе информации о числе разведенных и вдовых по данным переписи населения и информации о числе вступивших в повторный брак по данным статистики текущего учета населения. Частота вступления в новый брак оценивается с помощью вычисления специальных и возрастных коэффициентов повторных браков. Сопоставление случаев прекращения браков и повторных вступлений в брак дает оценку степени компенсации повторными браками разводов и овдовений.</w:t>
      </w:r>
    </w:p>
    <w:bookmarkEnd w:id="32"/>
    <w:bookmarkStart w:name="z36" w:id="33"/>
    <w:p>
      <w:pPr>
        <w:spacing w:after="0"/>
        <w:ind w:left="0"/>
        <w:jc w:val="both"/>
      </w:pPr>
      <w:r>
        <w:rPr>
          <w:rFonts w:ascii="Times New Roman"/>
          <w:b w:val="false"/>
          <w:i w:val="false"/>
          <w:color w:val="000000"/>
          <w:sz w:val="28"/>
        </w:rPr>
        <w:t>
      17. Суммарный коэффициент брачности для повторных браков характеризует среднее число вступлений в повторный брак в рассматриваемом условном поколении.</w:t>
      </w:r>
    </w:p>
    <w:bookmarkEnd w:id="33"/>
    <w:bookmarkStart w:name="z37" w:id="34"/>
    <w:p>
      <w:pPr>
        <w:spacing w:after="0"/>
        <w:ind w:left="0"/>
        <w:jc w:val="left"/>
      </w:pPr>
      <w:r>
        <w:rPr>
          <w:rFonts w:ascii="Times New Roman"/>
          <w:b/>
          <w:i w:val="false"/>
          <w:color w:val="000000"/>
        </w:rPr>
        <w:t xml:space="preserve"> Глава 4. Расчет основных показателей разводимости</w:t>
      </w:r>
    </w:p>
    <w:bookmarkEnd w:id="34"/>
    <w:bookmarkStart w:name="z38" w:id="35"/>
    <w:p>
      <w:pPr>
        <w:spacing w:after="0"/>
        <w:ind w:left="0"/>
        <w:jc w:val="both"/>
      </w:pPr>
      <w:r>
        <w:rPr>
          <w:rFonts w:ascii="Times New Roman"/>
          <w:b w:val="false"/>
          <w:i w:val="false"/>
          <w:color w:val="000000"/>
          <w:sz w:val="28"/>
        </w:rPr>
        <w:t>
      18. Бюро по текущей статистике формирует данные по числу разводов по возрасту бывших супругов, межэтническим разводам, среднему возрасту мужчин и женщин расторгнувших первый брак, а также по разводам по продолжительности брака.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19. Общий коэффициент разводимости рассчитывается по следующей формуле:</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63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CDR – общий коэффициент разводимости;</w:t>
      </w:r>
    </w:p>
    <w:p>
      <w:pPr>
        <w:spacing w:after="0"/>
        <w:ind w:left="0"/>
        <w:jc w:val="both"/>
      </w:pPr>
      <w:r>
        <w:rPr>
          <w:rFonts w:ascii="Times New Roman"/>
          <w:b w:val="false"/>
          <w:i w:val="false"/>
          <w:color w:val="000000"/>
          <w:sz w:val="28"/>
        </w:rPr>
        <w:t>
      D – число разводов;</w:t>
      </w:r>
    </w:p>
    <w:p>
      <w:pPr>
        <w:spacing w:after="0"/>
        <w:ind w:left="0"/>
        <w:jc w:val="both"/>
      </w:pPr>
      <w:r>
        <w:rPr>
          <w:rFonts w:ascii="Times New Roman"/>
          <w:b w:val="false"/>
          <w:i w:val="false"/>
          <w:color w:val="000000"/>
          <w:sz w:val="28"/>
        </w:rPr>
        <w:t>
      P – средняя численность населения.</w:t>
      </w:r>
    </w:p>
    <w:bookmarkStart w:name="z40" w:id="37"/>
    <w:p>
      <w:pPr>
        <w:spacing w:after="0"/>
        <w:ind w:left="0"/>
        <w:jc w:val="both"/>
      </w:pPr>
      <w:r>
        <w:rPr>
          <w:rFonts w:ascii="Times New Roman"/>
          <w:b w:val="false"/>
          <w:i w:val="false"/>
          <w:color w:val="000000"/>
          <w:sz w:val="28"/>
        </w:rPr>
        <w:t>
      20. Специальные коэффициенты разводимости рассчитываются по отношению к численности мужчин или женщин, состоящих в браке (к числу брачных пар). Специальный коэффициент разводимости равен отношению числа разводов за период к среднему числу существующих брачных пар на середину того же периода (по данным переписи населения).</w:t>
      </w:r>
    </w:p>
    <w:bookmarkEnd w:id="37"/>
    <w:bookmarkStart w:name="z41" w:id="38"/>
    <w:p>
      <w:pPr>
        <w:spacing w:after="0"/>
        <w:ind w:left="0"/>
        <w:jc w:val="both"/>
      </w:pPr>
      <w:r>
        <w:rPr>
          <w:rFonts w:ascii="Times New Roman"/>
          <w:b w:val="false"/>
          <w:i w:val="false"/>
          <w:color w:val="000000"/>
          <w:sz w:val="28"/>
        </w:rPr>
        <w:t>
      21. Повозрастный (возрастной) коэффициент разводимости рассчитывается по следующей формуле:</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32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ASDRх – повозрастной коэффициент разводимости;</w:t>
      </w:r>
    </w:p>
    <w:p>
      <w:pPr>
        <w:spacing w:after="0"/>
        <w:ind w:left="0"/>
        <w:jc w:val="both"/>
      </w:pPr>
      <w:r>
        <w:rPr>
          <w:rFonts w:ascii="Times New Roman"/>
          <w:b w:val="false"/>
          <w:i w:val="false"/>
          <w:color w:val="000000"/>
          <w:sz w:val="28"/>
        </w:rPr>
        <w:t>
      Dx – число разводов в возрасте "х" лет;</w:t>
      </w:r>
    </w:p>
    <w:p>
      <w:pPr>
        <w:spacing w:after="0"/>
        <w:ind w:left="0"/>
        <w:jc w:val="both"/>
      </w:pPr>
      <w:r>
        <w:rPr>
          <w:rFonts w:ascii="Times New Roman"/>
          <w:b w:val="false"/>
          <w:i w:val="false"/>
          <w:color w:val="000000"/>
          <w:sz w:val="28"/>
        </w:rPr>
        <w:t>
      Px – средняя численность населения состоящих в зарегистрированном браке в возрасте "х" лет.</w:t>
      </w:r>
    </w:p>
    <w:bookmarkStart w:name="z42" w:id="39"/>
    <w:p>
      <w:pPr>
        <w:spacing w:after="0"/>
        <w:ind w:left="0"/>
        <w:jc w:val="both"/>
      </w:pPr>
      <w:r>
        <w:rPr>
          <w:rFonts w:ascii="Times New Roman"/>
          <w:b w:val="false"/>
          <w:i w:val="false"/>
          <w:color w:val="000000"/>
          <w:sz w:val="28"/>
        </w:rPr>
        <w:t>
      22. Суммарный коэффициент разводимости показывает среднее число разводов на протяжении жизни поколения (реальной, условной) при условии сохранения повозрастных интенсивностей разводимости на уровне, свойственном периоду, для которого осуществляется расчет. Вычисляется путем суммирования возрастных коэффициентов разводимости:</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TDR - суммарный коэффициент разводимости;</w:t>
      </w:r>
    </w:p>
    <w:p>
      <w:pPr>
        <w:spacing w:after="0"/>
        <w:ind w:left="0"/>
        <w:jc w:val="both"/>
      </w:pPr>
      <w:r>
        <w:rPr>
          <w:rFonts w:ascii="Times New Roman"/>
          <w:b w:val="false"/>
          <w:i w:val="false"/>
          <w:color w:val="000000"/>
          <w:sz w:val="28"/>
        </w:rPr>
        <w:t>
      ASDR - повозрастные коэффициенты разводимости.</w:t>
      </w:r>
    </w:p>
    <w:bookmarkStart w:name="z43" w:id="40"/>
    <w:p>
      <w:pPr>
        <w:spacing w:after="0"/>
        <w:ind w:left="0"/>
        <w:jc w:val="left"/>
      </w:pPr>
      <w:r>
        <w:rPr>
          <w:rFonts w:ascii="Times New Roman"/>
          <w:b/>
          <w:i w:val="false"/>
          <w:color w:val="000000"/>
        </w:rPr>
        <w:t xml:space="preserve"> Глава 5. Расчет коэффициентов за отдельный период года</w:t>
      </w:r>
    </w:p>
    <w:bookmarkEnd w:id="40"/>
    <w:bookmarkStart w:name="z44" w:id="41"/>
    <w:p>
      <w:pPr>
        <w:spacing w:after="0"/>
        <w:ind w:left="0"/>
        <w:jc w:val="both"/>
      </w:pPr>
      <w:r>
        <w:rPr>
          <w:rFonts w:ascii="Times New Roman"/>
          <w:b w:val="false"/>
          <w:i w:val="false"/>
          <w:color w:val="000000"/>
          <w:sz w:val="28"/>
        </w:rPr>
        <w:t>
      23. Расчет общих коэффициентов брачности и разводимости осуществляется за месяц и за любое число месяцев с накоплением (период), с применением коэффициента перевода и средней численности населения.</w:t>
      </w:r>
    </w:p>
    <w:bookmarkEnd w:id="41"/>
    <w:p>
      <w:pPr>
        <w:spacing w:after="0"/>
        <w:ind w:left="0"/>
        <w:jc w:val="both"/>
      </w:pPr>
      <w:r>
        <w:rPr>
          <w:rFonts w:ascii="Times New Roman"/>
          <w:b w:val="false"/>
          <w:i w:val="false"/>
          <w:color w:val="000000"/>
          <w:sz w:val="28"/>
        </w:rPr>
        <w:t>
      Коэффициент перевода в месяце (периоде) вычисляется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1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 в месяце (периоде);</w:t>
      </w:r>
    </w:p>
    <w:p>
      <w:pPr>
        <w:spacing w:after="0"/>
        <w:ind w:left="0"/>
        <w:jc w:val="both"/>
      </w:pPr>
      <w:r>
        <w:rPr>
          <w:rFonts w:ascii="Times New Roman"/>
          <w:b w:val="false"/>
          <w:i w:val="false"/>
          <w:color w:val="000000"/>
          <w:sz w:val="28"/>
        </w:rPr>
        <w:t>
      DN – число дней в году;</w:t>
      </w:r>
    </w:p>
    <w:p>
      <w:pPr>
        <w:spacing w:after="0"/>
        <w:ind w:left="0"/>
        <w:jc w:val="both"/>
      </w:pPr>
      <w:r>
        <w:rPr>
          <w:rFonts w:ascii="Times New Roman"/>
          <w:b w:val="false"/>
          <w:i w:val="false"/>
          <w:color w:val="000000"/>
          <w:sz w:val="28"/>
        </w:rPr>
        <w:t>
      dn – число дней в месяце (периоде);</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С помощью коэффициента перевода данные в месяце (периоде) приводятся к годовому выражению. Число дней в году берется  из расчета 365 дней (в високосном году – 366).</w:t>
      </w:r>
    </w:p>
    <w:p>
      <w:pPr>
        <w:spacing w:after="0"/>
        <w:ind w:left="0"/>
        <w:jc w:val="both"/>
      </w:pPr>
      <w:r>
        <w:rPr>
          <w:rFonts w:ascii="Times New Roman"/>
          <w:b w:val="false"/>
          <w:i w:val="false"/>
          <w:color w:val="000000"/>
          <w:sz w:val="28"/>
        </w:rPr>
        <w:t>
      Средняя численность населения в месяце (периоде) вычисляется с точностью до одного знака после запятой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sz w:val="28"/>
        </w:rPr>
        <w:t xml:space="preserve"> – численность населения на 1 января отчетного года;</w:t>
      </w:r>
    </w:p>
    <w:p>
      <w:pPr>
        <w:spacing w:after="0"/>
        <w:ind w:left="0"/>
        <w:jc w:val="both"/>
      </w:pPr>
      <w:r>
        <w:rPr>
          <w:rFonts w:ascii="Times New Roman"/>
          <w:b w:val="false"/>
          <w:i w:val="false"/>
          <w:color w:val="000000"/>
          <w:sz w:val="28"/>
        </w:rPr>
        <w:t>
      ОП</w:t>
      </w:r>
      <w:r>
        <w:rPr>
          <w:rFonts w:ascii="Times New Roman"/>
          <w:b w:val="false"/>
          <w:i w:val="false"/>
          <w:color w:val="000000"/>
          <w:vertAlign w:val="superscript"/>
        </w:rPr>
        <w:t>t</w:t>
      </w:r>
      <w:r>
        <w:rPr>
          <w:rFonts w:ascii="Times New Roman"/>
          <w:b w:val="false"/>
          <w:i w:val="false"/>
          <w:color w:val="000000"/>
          <w:sz w:val="28"/>
        </w:rPr>
        <w:t xml:space="preserve"> – общий прирост, убыль (–);</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Общий коэффициент брачности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5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(B</w:t>
      </w:r>
      <w:r>
        <w:rPr>
          <w:rFonts w:ascii="Times New Roman"/>
          <w:b w:val="false"/>
          <w:i w:val="false"/>
          <w:color w:val="000000"/>
          <w:vertAlign w:val="superscript"/>
        </w:rPr>
        <w:t>t</w:t>
      </w:r>
      <w:r>
        <w:rPr>
          <w:rFonts w:ascii="Times New Roman"/>
          <w:b w:val="false"/>
          <w:i w:val="false"/>
          <w:color w:val="000000"/>
          <w:sz w:val="28"/>
        </w:rPr>
        <w:t>) – общий коэффициент брачности за месяц (период);</w:t>
      </w:r>
    </w:p>
    <w:p>
      <w:pPr>
        <w:spacing w:after="0"/>
        <w:ind w:left="0"/>
        <w:jc w:val="both"/>
      </w:pPr>
      <w:r>
        <w:rPr>
          <w:rFonts w:ascii="Times New Roman"/>
          <w:b w:val="false"/>
          <w:i w:val="false"/>
          <w:color w:val="000000"/>
          <w:sz w:val="28"/>
        </w:rPr>
        <w:t>
      B</w:t>
      </w:r>
      <w:r>
        <w:rPr>
          <w:rFonts w:ascii="Times New Roman"/>
          <w:b w:val="false"/>
          <w:i w:val="false"/>
          <w:color w:val="000000"/>
          <w:vertAlign w:val="superscript"/>
        </w:rPr>
        <w:t>t</w:t>
      </w:r>
      <w:r>
        <w:rPr>
          <w:rFonts w:ascii="Times New Roman"/>
          <w:b w:val="false"/>
          <w:i w:val="false"/>
          <w:color w:val="000000"/>
          <w:sz w:val="28"/>
        </w:rPr>
        <w:t xml:space="preserve"> – число браков;</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t</w:t>
      </w:r>
      <w:r>
        <w:rPr>
          <w:rFonts w:ascii="Times New Roman"/>
          <w:b w:val="false"/>
          <w:i w:val="false"/>
          <w:color w:val="000000"/>
          <w:sz w:val="28"/>
        </w:rPr>
        <w:t xml:space="preserve"> – коэффициент перевода;</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средняя численность населения;</w:t>
      </w:r>
    </w:p>
    <w:p>
      <w:pPr>
        <w:spacing w:after="0"/>
        <w:ind w:left="0"/>
        <w:jc w:val="both"/>
      </w:pPr>
      <w:r>
        <w:rPr>
          <w:rFonts w:ascii="Times New Roman"/>
          <w:b w:val="false"/>
          <w:i w:val="false"/>
          <w:color w:val="000000"/>
          <w:sz w:val="28"/>
        </w:rPr>
        <w:t>
      t – месяц (период).</w:t>
      </w:r>
    </w:p>
    <w:p>
      <w:pPr>
        <w:spacing w:after="0"/>
        <w:ind w:left="0"/>
        <w:jc w:val="both"/>
      </w:pPr>
      <w:r>
        <w:rPr>
          <w:rFonts w:ascii="Times New Roman"/>
          <w:b w:val="false"/>
          <w:i w:val="false"/>
          <w:color w:val="000000"/>
          <w:sz w:val="28"/>
        </w:rPr>
        <w:t>
      Общий коэффициент разводимости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90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(Dt) – общий коэффициент разводимости за месяц (период);</w:t>
      </w:r>
    </w:p>
    <w:p>
      <w:pPr>
        <w:spacing w:after="0"/>
        <w:ind w:left="0"/>
        <w:jc w:val="both"/>
      </w:pPr>
      <w:r>
        <w:rPr>
          <w:rFonts w:ascii="Times New Roman"/>
          <w:b w:val="false"/>
          <w:i w:val="false"/>
          <w:color w:val="000000"/>
          <w:sz w:val="28"/>
        </w:rPr>
        <w:t>
      Dt – число разводов;</w:t>
      </w:r>
    </w:p>
    <w:p>
      <w:pPr>
        <w:spacing w:after="0"/>
        <w:ind w:left="0"/>
        <w:jc w:val="both"/>
      </w:pPr>
      <w:r>
        <w:rPr>
          <w:rFonts w:ascii="Times New Roman"/>
          <w:b w:val="false"/>
          <w:i w:val="false"/>
          <w:color w:val="000000"/>
          <w:sz w:val="28"/>
        </w:rPr>
        <w:t>
      Кt – коэффициент перевода;</w:t>
      </w:r>
    </w:p>
    <w:p>
      <w:pPr>
        <w:spacing w:after="0"/>
        <w:ind w:left="0"/>
        <w:jc w:val="both"/>
      </w:pPr>
      <w:r>
        <w:rPr>
          <w:rFonts w:ascii="Times New Roman"/>
          <w:b w:val="false"/>
          <w:i w:val="false"/>
          <w:color w:val="000000"/>
          <w:sz w:val="28"/>
        </w:rPr>
        <w:t>
      St – средняя численность населения;</w:t>
      </w:r>
    </w:p>
    <w:p>
      <w:pPr>
        <w:spacing w:after="0"/>
        <w:ind w:left="0"/>
        <w:jc w:val="both"/>
      </w:pPr>
      <w:r>
        <w:rPr>
          <w:rFonts w:ascii="Times New Roman"/>
          <w:b w:val="false"/>
          <w:i w:val="false"/>
          <w:color w:val="000000"/>
          <w:sz w:val="28"/>
        </w:rPr>
        <w:t>
      t – месяц (период).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