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5b999" w14:textId="cd5b9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функционирования системы межбанковского клиринга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31 августа 2016 года № 211. Зарегистрировано в Министерстве юстиции Республики Казахстан 18 октября 2016 года № 14333.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системы межбанковского клиринга.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декабря 2015 года № 262 "Об утверждении Правил функционирования системы межбанковского клиринга" (зарегистрированное в Реестре государственной регистрации нормативных правовых актов Республики Казахстан 15 февраля 2016 года под № 13068, опубликованное 31 марта 2016 года в информационно-правовой системе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Казахстан").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платежных систем (Ашыкбеков Е.Т.) в установленном законодательством Республики Казахстан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настоящего постановления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официальное опубликование в информационно-правовой системе "Әділет" в течение десяти календарных дней после его государственной регистрации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включения в Государственный реестр нормативных правовых актов Республики Казахстан,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Управлению по защите прав потребителей финансовых услуг и внешних коммуникаций (Терентьев А.Л.)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Председателя Национального Банка Республики Казахстан Пирматова Г.О.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Национального Банка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Акишев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2016 года № 211</w:t>
            </w:r>
          </w:p>
        </w:tc>
      </w:tr>
    </w:tbl>
    <w:bookmarkStart w:name="z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функционирования системы межбанковского клиринга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функционирования системы межбанковского клиринга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функционирования системы межбанковского клиринга (далее – система), оператором которой является Национальный Банк Республики Казахстан (далее – Национальный Банк). Операционным центром системы является акционерное общество "Национальная платежная корпорация Национального Банка Республики Казахстан" (далее – Центр).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Система является платежной системой, предназначенной для осуществления платежей и (или) переводов денег между ее участниками путем многостороннего клиринга указаний участников.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Перевод денег по результатам клиринга в системе осуществляется с использованием денег ее участников в межбанковской системе переводов денег (далее – межбанковская система).</w:t>
      </w:r>
    </w:p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Правилах используются понятия,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Цифровым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платежах и платежных системах</w:t>
      </w:r>
      <w:r>
        <w:rPr>
          <w:rFonts w:ascii="Times New Roman"/>
          <w:b w:val="false"/>
          <w:i w:val="false"/>
          <w:color w:val="000000"/>
          <w:sz w:val="28"/>
        </w:rPr>
        <w:t>" (далее – Закон о платежах и платежных системах) и следующие понятия: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аудиторский след – последовательная регистрация событий по обработке электронных сообщений в системе, информация по которой сохраняется в системе и участниками системы;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аутентификация – комплекс мер для подтверждения подлинности участников системы при обмене платежными и информационными сообщениями, а также подлинности платежных и информационных сообщений;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программно-технический комплекс системы – технические, программные или другие средства, обеспечивающие работу системы, включающие цифровую систему, сервера и терминалы системы, средства коммуникации (передачи данных);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код приоритетности – код, определяющий очередность обработки платежных сообщений в системе. Код приоритетности присваивается платежному сообщению участником-отправителем;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дебетовый перевод – перевод денег, при котором участник-инициатор является участником-бенефициаром;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дебетовое платежное сообщение – платежное сообщение, инициирующее дебетовый перевод, содержащее требование к участнику-отправителю денег о выплате определенной суммы денег;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участник системы (далее – участник) – лицо, заключившее договор об участии в системе, а также Национальный Банк;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позиция участника в системе (далее – позиция участника) – позиция, предназначенная для учета суммы денег участника системы, переведенной им с корреспондентского счета в теңге, открытого в Национальном Банке, для осуществления платежей и переводов денег через систему;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системный риск – риск невыполнения обязательств одного или нескольких участников по одному или нескольким переводам денег, вызванный невыполнением обязательств одного или нескольких участников;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дебетовая очередь участника – последовательный ряд неисполненных платежных сообщений, находящихся в системе на определенную дату, по денежным обязательствам данного участника по отношению к другим участникам;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кредитовая очередь участника – последовательный ряд неисполненных платежных сообщений, находящихся в системе на определенную дату, по денежным обязательствам других участников по отношению к данному участнику;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участник-отправитель денег – участник, с позиции которого переводятся (списываются) деньги;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участник-инициатор – участник, направивший платежное сообщение в систему. Участник-инициатор является участником-отправителем денег или участником-бенефициаром;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участник-бенефициар – участник, на позицию которого переводятся деньги;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кредитовый перевод – перевод денег, при котором участник-инициатор является участником-отправителем денег;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кредитный риск – риск, связанный с возможностью несвоевременного выполнения (невыполнения) контрагентом своих обязательств в полном объеме;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операционный риск – риск, связанный с недостатками цифровых систем или внутренних процессов, человеческими ошибками, сбоями или нарушениями в управлении системой, в том числе вследствие внешних событий;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риск ликвидности – риск участника-отправителя денег, связанный с возможностью несвоевременного выполнения (невыполнения) своих обязательств по переводу денег в полном объеме;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дата платежа – дата исполнения платежного сообщения;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электронное информационное сообщение (далее – информационное сообщение) – электронное сообщение, имеющее электронную цифровую подпись, не относящееся к платежным сообщениям и имеющее информационный характер, в том числе выписки;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электронное платежное сообщение (далее – платежное 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сообщение) – электронное сообщение, имеющее электронную цифровую </w:t>
      </w:r>
      <w:r>
        <w:rPr>
          <w:rFonts w:ascii="Times New Roman"/>
          <w:b w:val="false"/>
          <w:i w:val="false"/>
          <w:color w:val="000000"/>
          <w:sz w:val="28"/>
        </w:rPr>
        <w:t>подпись</w:t>
      </w:r>
      <w:r>
        <w:rPr>
          <w:rFonts w:ascii="Times New Roman"/>
          <w:b w:val="false"/>
          <w:i w:val="false"/>
          <w:color w:val="000000"/>
          <w:sz w:val="28"/>
        </w:rPr>
        <w:t>, на основании которого осуществляются переводы денег по позициям участников в системе;</w:t>
      </w:r>
    </w:p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электронное сообщение – совокупность информации в электронном виде в формате, разработанном Центром.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Понятия рисков, используемые в Правилах, применимы в отношении системы в рамках Правил и изложены в соответствии с Глоссарием терминов, используемых в платежных и расчетных системах, разработанных Комитетом по платежам и рыночным инфраструктурам Банка международных расчетов (Базель, Швейцария, март 2003 года).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постановлениями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Национальный Банк организует и обеспечивает функционирование и управление системой, выполняет иные функции оператора системы,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платежах и платежных системах.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Осуществление операционных и технологических функций, в том числе заключение договоров с участниками по обработке и выдаче платежных и информационных сообщений (далее – договор об оказании услуг в системе) и третьими лицами, оказывающими услуги для функционирования системы, осуществляются Центром по поручению Национального Банка.</w:t>
      </w:r>
    </w:p>
    <w:bookmarkEnd w:id="34"/>
    <w:bookmarkStart w:name="z38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 участия в системе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Условием для получения статуса участника является наличие корреспондентского счета участника в теңге, открытого в Национальном Банке в порядке, установленном Правилами установления корреспондентских отношений между Национальным Банком Республики Казахстан и банками, филиалами банков-нерезидентов Республики Казахстан, а также организациями, осуществляющими отдельные виды банковских операций,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августа 2016 года № 209 "Об утверждении Правил установления корреспондентских отношений между Национальным Банком Республики Казахстан и банками, филиалами банков-нерезидентов Республики Казахстан, а также организациями, осуществляющими отдельные виды банковских операций" (зарегистрировано в Реестре государственной регистрации нормативных правовых актов под № 14336), (далее – Постановление), и участие участника в межбанковской системе.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заключения договора об оказании услуг в системе юридическое лицо представляет в Центр следующие документы: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подключение к системе в произвольной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копию заявления на присоединение к договору корреспондентского счета с Национальным Банком (далее – договор корреспондентского счета), и копию </w:t>
      </w:r>
      <w:r>
        <w:rPr>
          <w:rFonts w:ascii="Times New Roman"/>
          <w:b w:val="false"/>
          <w:i w:val="false"/>
          <w:color w:val="000000"/>
          <w:sz w:val="28"/>
        </w:rPr>
        <w:t>договора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участии в системе, заключенного с Национальным Банком (далее – договор об участии в системе).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заключение смешанного договора, в котором содержатся условия договора корреспондентского счета и договора об участии в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копии договора корреспондентского счета не требуется при его наличии в деле участника, ранее сформированном при заключении с ним договоров об участии в системе и об оказании услуг в межбанковской системе.</w:t>
      </w:r>
    </w:p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Юридические лица приобретают статус участника после заключения с Национальным Банком договора об участии в системе. Расторжение договоров об участии в системе и об оказании услуг в системе влечет за собой утрату юридическим лицом статуса участника.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участвует в системе в качестве участника при проведении собственных платежей и (или) переводов денег и платежей и (или) переводов денег по указаниям клиентов и получает статус участника системы на основании заключенного с Центром договора об оказании услуг в системе.</w:t>
      </w:r>
    </w:p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Правовую основу функционирования системы составляют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платежах и платежных системах, Правила, договоры об участии в системе, договоры об оказании услуг в системе.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Договор об участии в системе содержит:</w:t>
      </w:r>
    </w:p>
    <w:bookmarkEnd w:id="40"/>
    <w:bookmarkStart w:name="z10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договора;</w:t>
      </w:r>
    </w:p>
    <w:bookmarkEnd w:id="41"/>
    <w:bookmarkStart w:name="z10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права и обязанности сторон;</w:t>
      </w:r>
    </w:p>
    <w:bookmarkEnd w:id="42"/>
    <w:bookmarkStart w:name="z10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ответственность сторон за невыполнение условий договора;</w:t>
      </w:r>
    </w:p>
    <w:bookmarkEnd w:id="43"/>
    <w:bookmarkStart w:name="z10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изменения условий и расторжения договора;</w:t>
      </w:r>
    </w:p>
    <w:bookmarkEnd w:id="44"/>
    <w:bookmarkStart w:name="z10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разрешения споров;</w:t>
      </w:r>
    </w:p>
    <w:bookmarkEnd w:id="45"/>
    <w:bookmarkStart w:name="z10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порядок оплаты услуг Центра;</w:t>
      </w:r>
    </w:p>
    <w:bookmarkEnd w:id="46"/>
    <w:bookmarkStart w:name="z10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соблюдения режима кибербезопасности, конфиденциальности, сохранения банковской тайны и защиты персональных данных;</w:t>
      </w:r>
    </w:p>
    <w:bookmarkEnd w:id="47"/>
    <w:bookmarkStart w:name="z10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другие условия по согласованию сторон.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постановления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30.06.2024); с изменением, внесенным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Действие отдельных положений договора об участии в системе временно приостанавливается по основаниям, предусмотренным Постановлением, и (или) договором корреспондентского счета.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Временное приостановление участия участника в системе не лишает юридическое лицо статуса участника.</w:t>
      </w:r>
    </w:p>
    <w:bookmarkStart w:name="z45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Услуги, оказываемые в системе и виды операций</w:t>
      </w:r>
    </w:p>
    <w:bookmarkEnd w:id="50"/>
    <w:bookmarkStart w:name="z4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Цены на товары, работы и услуги, производимые и реализуемые Центром участнику в системе, утверждаются Центром по согласованию с Национальным Банком.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постановления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30.06.2024).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Операционный центр оказывает участнику услуги в системе: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приему и обработке платежных сообщений;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приему, обработке и представлению участникам информационных сообщений по совершенным операциям;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выполнению иных операционных и технологических функций в обеспечение функционирования системы,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Start w:name="z4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Оператор оказывает услуги в системе в соответствии с функциями оператора системы,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системах, в том числе, услуги по продлению операционного дня системы, по определению и применению системы управления рисками в системе.</w:t>
      </w:r>
    </w:p>
    <w:bookmarkEnd w:id="53"/>
    <w:bookmarkStart w:name="z4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Через систему осуществляются дебетовые и кредитовые переводы на основании платежных сообщений участников.</w:t>
      </w:r>
    </w:p>
    <w:bookmarkEnd w:id="54"/>
    <w:bookmarkStart w:name="z5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системе применяются платежные сообщения с текущей и будущей датами платежа. Дата платежа устанавливается участником-инициатором от текущей даты до трех операционных дней, не включая дату передачи платежного сообщения в Центр. Платежные сообщения с будущей датой платежа хранятся в системе до наступления даты платежа, указанной в платежном сообщении.</w:t>
      </w:r>
    </w:p>
    <w:bookmarkEnd w:id="55"/>
    <w:bookmarkStart w:name="z5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Переданное в Центр платежное сообщение с текущей или будущей датой валютирования отзывается участником путем направления в Центр информационного сообщения об отзыве платежного сообщения.</w:t>
      </w:r>
    </w:p>
    <w:bookmarkEnd w:id="56"/>
    <w:bookmarkStart w:name="z5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Отозванные платежные сообщения считаются аннулированными и регистрируются Центром и участником в цифровой форме. Отзыв участником платежных сообщений из системы после завершения операционного дня, соответствующего дате платежа, не допускается.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Участник-бенефициар направляет в систему дебетовое платежное сообщение в адрес определенного участника-отправителя денег с датой платежа, превышающей текущую дату операционного дня системы не менее, чем на два операционных дня. Условия о выставлении дебетового платежного сообщения предусматриваются в договоре между участником-отправителем денег и участником-бенефициаром.</w:t>
      </w:r>
    </w:p>
    <w:bookmarkEnd w:id="58"/>
    <w:bookmarkStart w:name="z5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течение трех рабочих дней со дня подписания договора между участником-отправителем денег и участником-бенефициаром участник-отправитель денег доводит до сведения Центра следующие сведения: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участника-отправителя денег, его банковский идентификационный код;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участника-бенефициара, его банковский идентификационный код;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и дату договора, срок его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и индивидуальный идентификационный код бенефициара;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иные сведения, согласованные сторонами в договоре между участником-отправителем денег и участником-бенефициаром.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Дебетовые платежные сообщения не направляются в пользу органов казначейства Министерства финансов Республики Казахстан.</w:t>
      </w:r>
    </w:p>
    <w:bookmarkStart w:name="z5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Дебетовое платежное сообщение с датой платежа не менее двух операционных дней, направленное в Центр, попадает в кредитовую очередь участника-бенефициара и дебетовую очередь участника-отправителя денег, к которому предъявляется требование о выплате определенной суммы денег на день исполнения данного платежа.</w:t>
      </w:r>
    </w:p>
    <w:bookmarkEnd w:id="60"/>
    <w:bookmarkStart w:name="z5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Дебетовое платежное сообщение не позднее операционного дня со дня получения направляется Центром участнику-отправителю денег.</w:t>
      </w:r>
    </w:p>
    <w:bookmarkEnd w:id="61"/>
    <w:bookmarkStart w:name="z5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случае несогласия участника-отправителя денег на обработку Центром дебетового платежного сообщения и совершение платежа по нему участник-отправитель денег направляет Центру сообщение об аннулировании дебетового платежного сообщения из дебетовой очереди участника.</w:t>
      </w:r>
    </w:p>
    <w:bookmarkEnd w:id="62"/>
    <w:bookmarkStart w:name="z5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Если до наступления срока исполнения платежа по дебетовому платежному сообщению Центром не получено сообщение участника-отправителя денег об аннулировании дебетового платежного сообщения из его дебетовой очереди, дебетовое платежное сообщение исполняется Центром.</w:t>
      </w:r>
    </w:p>
    <w:bookmarkEnd w:id="63"/>
    <w:bookmarkStart w:name="z5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Отзыв дебетового платежного сообщения осуществляется до его исполнения Центром.</w:t>
      </w:r>
    </w:p>
    <w:bookmarkEnd w:id="64"/>
    <w:bookmarkStart w:name="z6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После отзыва либо аннулирования дебетового платежного сообщения Центр извещает об этом участника-бенефициара и участника-отправителя денег.</w:t>
      </w:r>
    </w:p>
    <w:bookmarkEnd w:id="65"/>
    <w:bookmarkStart w:name="z61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Процедуры функционирования системы, порядок взаимодействия участников с оператором и операционным центром, меры кибербезопасности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2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Функционирование системы и обмен электронными сообщениями в системе, меры кибербезопасности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параграфа 1 -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Участники обмениваются электронными сообщениями в соответствии с процедурами обмена и форматами, разработанными Центром по согласованию с Национальным Банком и применяемыми в системе (далее – Процедуры).</w:t>
      </w:r>
    </w:p>
    <w:bookmarkEnd w:id="68"/>
    <w:bookmarkStart w:name="z6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Процедуры доводятся Центром до участников в сроки, установленные договором об оказании услуг в системе путем опубликования на официальном интернет-ресурсе Центра.</w:t>
      </w:r>
    </w:p>
    <w:bookmarkEnd w:id="69"/>
    <w:bookmarkStart w:name="z6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системе соблюдаются меры кибербезопасности, установленные Центром, для определения факта передачи электронных сообщений и обнаружения ошибок при их передаче.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Центр разрабатывает и утверждает порядок аутентификации электронных сообщений.</w:t>
      </w:r>
    </w:p>
    <w:bookmarkEnd w:id="71"/>
    <w:bookmarkStart w:name="z6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Передача и прием платежных и информационных сообщений, в том числе информационных сообщений об отзыве платежных сообщений, в системе осуществляются электронным способом в течение операционного дня, определенного Национальным Банком в соответствии с графиком приема и обработки платежных документов.</w:t>
      </w:r>
    </w:p>
    <w:bookmarkEnd w:id="72"/>
    <w:bookmarkStart w:name="z6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Если платежное сообщение или информационное сообщение получены Центром после окончания операционного дня, они считаются полученными Центром в начале следующего операционного дня. Центр отказывает в исполнении платежного сообщения, поступившего в Центр с датой платежа прошедшего операционного дня, с направлением участнику-инициатору информационного сообщения о непроведении платежного сообщения с указанием причины.</w:t>
      </w:r>
    </w:p>
    <w:bookmarkEnd w:id="73"/>
    <w:bookmarkStart w:name="z6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случае если участник не осуществляет операций в системе в рабочий день, являющийся для системы операционным днем, Центр принимает платежные сообщения, поступающие в пользу данного участника, определяет его чистую позицию и осуществляет перевод денег по результатам клиринга.</w:t>
      </w:r>
    </w:p>
    <w:bookmarkEnd w:id="74"/>
    <w:bookmarkStart w:name="z7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Центр и участники обеспечивают хранение информации и осуществляют мониторинг отправляемых и получаемых электронных сообщений. Все электронные сообщения, обработанные Центром и участниками, оставляют аудиторский след во внутренних программных системах Центра и участников.</w:t>
      </w:r>
    </w:p>
    <w:bookmarkEnd w:id="75"/>
    <w:bookmarkStart w:name="z7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Не допускаются изменения платежных сообщений при их обработке Центром.</w:t>
      </w:r>
    </w:p>
    <w:bookmarkEnd w:id="76"/>
    <w:bookmarkStart w:name="z10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35-1. В случае обнаружения Центром ошибок в структуре сводного платежного сообщения, Центром осуществляется обработка сводного платежного сообщения, за исключением вложенного в него платежного сообщения, в структуре которого допущена ошибка.</w:t>
      </w:r>
    </w:p>
    <w:bookmarkEnd w:id="77"/>
    <w:bookmarkStart w:name="z1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Сводное платежное сообщение, сформированное для осуществления платежей и (или) переводов денег,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осуществления безналичных платежей и (или) переводов денег на территории Республики Казахстан, утвержденных постановлением Правления Национального Банка республики Казахстан от 31 августа 2016 года № 208 (зарегистрировано в Реестре государственной регистрации нормативных правовых актов под № 14419), не обрабатывается Центром полностью при обнаружении ошибок в его структуре.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35-1 в соответствии постановлением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11.11.2024).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Для обеспечения конфиденциальности, целостности, подтверждения авторства и подлинности электронных поручений при обмене электронными сообщениями Центр и участники используют систему криптографической защиты информации и электронной цифровой подписи "Тумар", представляемую участнику Центром.</w:t>
      </w:r>
    </w:p>
    <w:bookmarkEnd w:id="79"/>
    <w:bookmarkStart w:name="z7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системе применяется идентификация участников, построенная на крипто-протоколе двусторонней идентификации, согласно которой идентифицируется не только участник, но и центр системы.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идентификации участника происходит обмен информацией между системой и участником. Для обеспечения целостности передаваемой по каналу связи информации вычисляется имитовставка, предусматривающая применение защитных мер от умышленного или неумышленного внесения изменений (искажений) в передаваемую информацию. Для обеспечения конфиденциальности производится шифрование хранимой или передаваемой по открытым каналам информации, которое гарантирует защиту от несанкционированного доступа к этой информации и позволяет избежать компрометации информации.</w:t>
      </w:r>
    </w:p>
    <w:bookmarkStart w:name="z7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Завершенность (окончательность) платежей и (или) переводов денег регулируется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End w:id="81"/>
    <w:bookmarkStart w:name="z7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Процедура многостороннего клиринга</w:t>
      </w:r>
    </w:p>
    <w:bookmarkEnd w:id="82"/>
    <w:bookmarkStart w:name="z7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После завершения операционного дня Центр прекращает прием платежных сообщений в завершенный операционный день, производит клиринг принятых платежных сообщений и определяет чистую позицию каждого участника.</w:t>
      </w:r>
    </w:p>
    <w:bookmarkEnd w:id="83"/>
    <w:bookmarkStart w:name="z7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Процедура клиринга производится в соответствии с кодами приоритетности. В пределах одного кода приоритетности платежные сообщения, относящиеся к одной очереди, обрабатываются в порядке их поступления в систему.</w:t>
      </w:r>
    </w:p>
    <w:bookmarkEnd w:id="84"/>
    <w:bookmarkStart w:name="z7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Коды приоритетности разрабатываются и утверждаются Центром по согласованию с Национальным Банком.</w:t>
      </w:r>
    </w:p>
    <w:bookmarkEnd w:id="85"/>
    <w:bookmarkStart w:name="z7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Изменение приоритета платежного сообщения, находящегося в очереди, осуществляется участником-инициатором путем направления в систему информационного сообщения об изменении приоритета без отзыва платежного сообщения.</w:t>
      </w:r>
    </w:p>
    <w:bookmarkEnd w:id="86"/>
    <w:bookmarkStart w:name="z8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После определения чистой позиции каждого участника Центр резервирует у участников с дебетовой чистой позицией в межбанковской системе сумму денег, равную дебетовой чистой позиции данного участника.</w:t>
      </w:r>
    </w:p>
    <w:bookmarkEnd w:id="87"/>
    <w:bookmarkStart w:name="z8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Перевод денег по результатам клиринга осуществляется через позицию системы в межбанковской системе (далее – позиция системы).</w:t>
      </w:r>
    </w:p>
    <w:bookmarkEnd w:id="88"/>
    <w:bookmarkStart w:name="z8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Перевод денег по результатам клиринга в межбанковской системе производится в соответствии с чистой позицией каждого участника с использованием зарезервированной суммы денег в соответствии с пунктом 43 Правил. Перевод денег производится на основании указаний Центра о списании (зачислении) денег на сумму чистой позиции каждого участника.</w:t>
      </w:r>
    </w:p>
    <w:bookmarkEnd w:id="89"/>
    <w:bookmarkStart w:name="z8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Центр осуществляет в межбанковской системе перевод денег с позиций участников, имеющих по результатам клиринга дебетовую чистую позицию, на позицию системы, затем перевод денег с позиции системы в межбанковской системе на позиции участников, имеющих по результатам клиринга кредитовую чистую позицию. После завершения переводов денег по результатам клиринга остаток на позиции системы в межбанковской системе равен нулю.</w:t>
      </w:r>
    </w:p>
    <w:bookmarkEnd w:id="90"/>
    <w:bookmarkStart w:name="z84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Предоставление информационных сообщений в течение</w:t>
      </w:r>
      <w:r>
        <w:br/>
      </w:r>
      <w:r>
        <w:rPr>
          <w:rFonts w:ascii="Times New Roman"/>
          <w:b/>
          <w:i w:val="false"/>
          <w:color w:val="000000"/>
        </w:rPr>
        <w:t>и в конце операционного дня</w:t>
      </w:r>
    </w:p>
    <w:bookmarkEnd w:id="91"/>
    <w:bookmarkStart w:name="z8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 течение операционного дня по запросу участника Центр направляет участнику: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информационное сообщение в виде выписки о состоянии позиции участника, содержащее перечень платежных сообщений, переданных данным участником в Центр, и поступивших в пользу данного участника;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информационное сообщение о непроведенных платежных сообщениях, содержащее перечень непроведенных платежных сообщений с указанием причины непроведения каждого платежного сообщения.</w:t>
      </w:r>
    </w:p>
    <w:bookmarkStart w:name="z8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Центр представляет участникам информационные сообщения, содержащие информацию о платежных сообщениях, как с текущей, так и с будущей датой платежа. В запросе участника на получение информационного сообщения в виде выписки указывается дата, по которой участник запросил получение информационного сообщения в виде выписки.</w:t>
      </w:r>
    </w:p>
    <w:bookmarkEnd w:id="93"/>
    <w:bookmarkStart w:name="z8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Центр после завершения переводов денег направляет участнику окончательное информационное сообщение в виде выписки, содержащее информацию о платежных сообщениях, обработанных в системе, и информацию о чистой позиции участника по результатам клиринга, а также ведомость непроведенных платежных сообщений и все платежные сообщения, поступившие в пользу данного участника и указанные в окончательном информационном сообщении в виде выписки.</w:t>
      </w:r>
    </w:p>
    <w:bookmarkEnd w:id="94"/>
    <w:bookmarkStart w:name="z8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Если информационное сообщение в виде выписки о состоянии позиции участника в системе не содержит информации об электронном сообщении, переданном участником в Центр, участник уведомляет об этом Центр и совместно с Центром не позднее следующего операционного дня выясняет причину утери электронного сообщения.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несвоевременном получении электронных сообщений или их отсутствии участник уведомляет Центр.</w:t>
      </w:r>
    </w:p>
    <w:bookmarkStart w:name="z89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Система управления рисками в системе</w:t>
      </w:r>
    </w:p>
    <w:bookmarkEnd w:id="96"/>
    <w:bookmarkStart w:name="z9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Особенности функционирования программно-технического комплекса системы устанавливаются документами Центра.</w:t>
      </w:r>
    </w:p>
    <w:bookmarkEnd w:id="97"/>
    <w:bookmarkStart w:name="z9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В целях выявления, измерения и мониторинга рисков ликвидности, кредитного и системного риска Национальный Банк и Центр осуществляют надзор (оверсайт) за системой, в том числе, анализ и оценку функционирования системы на соответствие международным стандартам.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управления риском ликвидности, кредитным и системным рисками при недостаточности денег в межбанковской системе для расчета чистой позиции участника (чистых позиций участников) система аннулирует платежные сообщения на необходимую сумму и перерасчитывает чистые позиции участников (метод раскрутки очереди).</w:t>
      </w:r>
    </w:p>
    <w:bookmarkStart w:name="z9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Для управления операционным риском используются следующие методы: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проведение Национальным Банком контроля и надзора за организацией и функционированием системы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 (далее – Закон о Национальном Банке);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постоянный мониторинг и поддержание Центром беспрерывной работы программно-технического комплекса системы в соответствии с методами, определенными внутренними документам Центра по управлению операционным риском;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поддержание в актуальном состоянии плана восстановления деятельности системы с учетом возможных сценариев остановки работы системы и тестирование Национальным Банком совместно с Центром данного плана с переводом работы системы с основного центра на резервный центр не менее двух раз в течение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работоспособности резервного центра;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перевод работы системы с основного центра на резервный центр при наличии сбоев или простоев в работе программно-технического комплекса системы, не подлежащих восстановлению в основном центре.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53 с изменением, внесенным постановлением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Национальный Банк совместно с Центром и участниками проводит анализ используемых методов управления рисками не менее одного раза в течение двух лет. По результатам анализа принимается решение о сохранении или изменении методов управления рисками.</w:t>
      </w:r>
    </w:p>
    <w:bookmarkEnd w:id="100"/>
    <w:bookmarkStart w:name="z94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Мониторинг и надзор (оверсайт) системы</w:t>
      </w:r>
    </w:p>
    <w:bookmarkEnd w:id="101"/>
    <w:bookmarkStart w:name="z9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Национальным Банком осуществляется мониторинг системы в режиме реального времени и надзор (оверсайт) за системой.</w:t>
      </w:r>
    </w:p>
    <w:bookmarkEnd w:id="102"/>
    <w:bookmarkStart w:name="z9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Мониторинг системы в режиме реального времени осуществляется Национальным Банком путем наблюдения позиций участников системы в течение операционного дня.</w:t>
      </w:r>
    </w:p>
    <w:bookmarkEnd w:id="103"/>
    <w:bookmarkStart w:name="z9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Надзор (оверсайт) за системой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Национальном Банке.</w:t>
      </w:r>
    </w:p>
    <w:bookmarkEnd w:id="104"/>
    <w:bookmarkStart w:name="z9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Участниками проводится мониторинг состояния своей позиции в системе, в том числе, путем получения выписок от Центра.</w:t>
      </w:r>
    </w:p>
    <w:bookmarkEnd w:id="10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