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d06e" w14:textId="905d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системы межбанковского клиринга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211. Зарегистрировано в Министерстве юстиции Республики Казахстан 18 октября 2016 года № 14333.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системы межбанковского клиринга.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декабря 2015 года № 262 "Об утверждении Правил функционирования системы межбанковского клиринга" (зарегистрированное в Реестре государственной регистрации нормативных правовых актов Республики Казахстан 15 февраля 2016 года под № 13068, опубликованное 31 марта 2016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211</w:t>
            </w:r>
          </w:p>
        </w:tc>
      </w:tr>
    </w:tbl>
    <w:bookmarkStart w:name="z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функционирования системы межбанковского клиринга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системы межбанковского клиринга (далее – Правила) разработаны в соответствии с подпунктом 17)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(далее – Закон о Национальном Банке),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(далее – Закон о платежах и платежных системах) и определяют порядок функционирования системы межбанковского клиринга (далее – система), оператором которой является Национальный Банк Республики Казахстан (далее – Национальный Банк). Операционным центром системы является акционерное общество "Национальная платежная корпорация Национального Банка Республики Казахстан" (далее – Центр).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Система является платежной системой, предназначенной для осуществления платежей и (или) переводов денег между ее участниками путем многостороннего клиринга указаний участников.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денег по результатам клиринга в системе осуществляется с использованием денег ее участников в межбанковской системе переводов денег (далее – межбанковская система).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Законом Республики Казахстан от 7 января 2003 года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 и электронной цифровой подписи</w:t>
      </w:r>
      <w:r>
        <w:rPr>
          <w:rFonts w:ascii="Times New Roman"/>
          <w:b w:val="false"/>
          <w:i w:val="false"/>
          <w:color w:val="000000"/>
          <w:sz w:val="28"/>
        </w:rPr>
        <w:t>", и следующие понятия: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аудиторский след – последовательная регистрация событий по обработке электронных сообщений в системе, информация по которой сохраняется в системе и участниками системы;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аутентификация – комплекс мер для подтверждения подлинности участников системы при обмене платежными и информационными сообщениями, а также подлинности платежных и информационных сообщений;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программно-технический комплекс системы – технические, программные или другие средства, обеспечивающие работу системы, включающие информационную систему, сервера и терминалы системы, средства коммуникации (передачи данных);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код приоритетности – код, определяющий очередность обработки платежных сообщений в системе. Код приоритетности присваивается платежному сообщению участником-отправителем;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дебетовый перевод – перевод денег, при котором участник-инициатор является участником-бенефициаром;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дебетовое платежное сообщение – платежное сообщение, инициирующее дебетовый перевод, содержащее требование к участнику-отправителю денег о выплате определенной суммы денег;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участник системы (далее – участник) – лицо, заключившее договор об участии в системе, а также Национальный Банк;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позиция участника в системе (далее – позиция участника) – позиция, предназначенная для учета суммы денег участника системы, переведенной им с корреспондентского счета в тенге, открытого в Национальном Банке, для осуществления платежей и переводов денег через систему;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системный риск – риск невыполнения обязательств одного или нескольких участников по одному или нескольким переводам денег, вызванный невыполнением обязательств одного или нескольких участников;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дебетовая очередь участника – последовательный ряд неисполненных платежных сообщений, находящихся в системе на определенную дату, по денежным обязательствам данного участника по отношению к другим участникам;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кредитовая очередь участника – последовательный ряд неисполненных платежных сообщений, находящихся в системе на определенную дату, по денежным обязательствам других участников по отношению к данному участнику;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участник-отправитель денег – участник, с позиции которого переводятся (списываются) деньги;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участник-инициатор – участник, направивший платежное сообщение в систему. Участник-инициатор является участником-отправителем денег или участником-бенефициаром;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участник-бенефициар – участник, на позицию которого переводятся деньги;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кредитовый перевод – перевод денег, при котором участник-инициатор является участником-отправителем денег;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кредитный риск – риск, связанный с возможностью несвоевременного выполнения (невыполнения) контрагентом своих обязательств в полном объеме;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операционный риск – риск, связанный с недостатками информационных систем или внутренних процессов, человеческими ошибками, сбоями или нарушениями в управлении системой, в том числе вследствие внешних событий;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риск ликвидности – риск участника-отправителя денег, связанный с возможностью несвоевременного выполнения (невыполнения) своих обязательств по переводу денег в полном объеме;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дата платежа – дата исполнения платежного сообщения;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электронное информационное сообщение (далее – информационное сообщение) – электронное сообщение, имеющее электронную цифровую подпись, не относящееся к платежным сообщениям и имеющее информационный характер, в том числе выписки;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электронное платежное сообщение (далее – платежное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сообщение) – электронное сообщение, имеющее электронную цифровую </w:t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, на основании которого осуществляются переводы денег по позициям участников в системе;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электронное сообщение – совокупность информации в электронном виде в формате, разработанном Центром.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рисков, используемые в Правилах, применимы в отношении системы в рамках Правил и изложены в соответствии с Глоссарием терминов, используемых в платежных и расчетных системах, разработанных Комитетом по платежам и рыночным инфраструктурам Банка международных расчетов (Базель, Швейцария, март 2003 года).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Национальный Банк организует и обеспечивает функционирование и управление системой, выполняет иные функции оператора системы,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Осуществление операционных и технологических функций, в том числе заключение договоров с участниками по обработке и выдаче платежных и информационных сообщений (далее – договор об оказании услуг в системе) и третьими лицами, оказывающими услуги для функционирования системы, осуществляются Центром по поручению Национального Банка.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участия в системе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Условием для получения статуса участника является наличие корреспондентского счета участника в тенге, открытого в Национальном Банке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корреспондентских отношений между Национальным Банком Республики Казахстан и банками, филиалами банков-нерезидентов Республики Казахстан, а также организациями, осуществляющими отдельные виды банковских операций, утвержденными постановлением Правления Национального Банка Республики Казахстан от 31 августа 2016 года № 209, зарегистрированным в Реестре государственной регистрации нормативных правовых актов под № 14336, (далее – Постановление), и участие участника в межбанковской системе.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заключения договора об оказании услуг в системе юридическое лицо представляет в Центр следующие документы: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подключение к системе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заявления на присоединение к договору корреспондентского счета с Национальным Банком (далее – договор корреспондентского счета), и копию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участии в системе, заключенного с Национальным Банком (далее – договор об участии в системе).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заключение смешанного договора, в котором содержатся условия договора корреспондентского счета и договора об участии в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копии договора корреспондентского счета не требуется при его наличии в деле участника, ранее сформированном при заключении с ним договоров об участии в системе и об оказании услуг в межбанковской системе.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Юридические лица приобретают статус участника после заключения с Национальным Банком договора об участии в системе. Расторжение договоров об участии в системе и об оказании услуг в системе влечет за собой утрату юридическим лицом статуса участника.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участвует в системе в качестве участника при проведении собственных платежей и (или) переводов денег и платежей и (или) переводов денег по указаниям клиентов и получает статус участника системы на основании заключенного с Центром договора об оказании услуг в системе.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Правовую основу функционирования системы составляют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Правила, договоры об участии в системе, договоры об оказании услуг в системе.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Договор об участии в системе содержит:</w:t>
      </w:r>
    </w:p>
    <w:bookmarkEnd w:id="40"/>
    <w:bookmarkStart w:name="z10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договора;</w:t>
      </w:r>
    </w:p>
    <w:bookmarkEnd w:id="41"/>
    <w:bookmarkStart w:name="z10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и обязанности сторон;</w:t>
      </w:r>
    </w:p>
    <w:bookmarkEnd w:id="42"/>
    <w:bookmarkStart w:name="z10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ответственность сторон за невыполнение условий договора;</w:t>
      </w:r>
    </w:p>
    <w:bookmarkEnd w:id="43"/>
    <w:bookmarkStart w:name="z10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изменения условий и расторжения договора;</w:t>
      </w:r>
    </w:p>
    <w:bookmarkEnd w:id="44"/>
    <w:bookmarkStart w:name="z10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разрешения споров;</w:t>
      </w:r>
    </w:p>
    <w:bookmarkEnd w:id="45"/>
    <w:bookmarkStart w:name="z10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оплаты услуг Центра;</w:t>
      </w:r>
    </w:p>
    <w:bookmarkEnd w:id="46"/>
    <w:bookmarkStart w:name="z10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соблюдения режима информационной безопасности, конфиденциальности, сохранения банковской тайны и защиты персональных данных;</w:t>
      </w:r>
    </w:p>
    <w:bookmarkEnd w:id="47"/>
    <w:bookmarkStart w:name="z10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другие условия по согласованию сторон.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Правления Национального Банка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Действие отдельных положений договора об участии в системе временно приостанавливается по основаниям, предусмотренным Постановлением, и (или) договором корреспондентского счета.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Временное приостановление участия участника в системе не лишает юридическое лицо статуса участника.</w:t>
      </w:r>
    </w:p>
    <w:bookmarkStart w:name="z4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Услуги, оказываемые в системе и виды операций</w:t>
      </w:r>
    </w:p>
    <w:bookmarkEnd w:id="50"/>
    <w:bookmarkStart w:name="z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Цены на товары, работы и услуги, производимые и реализуемые Центром участнику в системе, утверждаются Центром по согласованию с Национальным Банком.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Правления Национального Банка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Операционный центр оказывает участнику услуги в системе: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приему и обработке платежных сообщений;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приему, обработке и представлению участникам информационных сообщений по совершенным операциям;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выполнению иных операционных и технологических функций в обеспечение функционирования системы,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системах.</w:t>
      </w:r>
    </w:p>
    <w:bookmarkStart w:name="z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Оператор оказывает услуги в системе в соответствии с функциями оператора системы,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системах, в том числе, услуги по продлению операционного дня системы, по определению и применению системы управления рисками в системе.</w:t>
      </w:r>
    </w:p>
    <w:bookmarkEnd w:id="53"/>
    <w:bookmarkStart w:name="z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Через систему осуществляются дебетовые и кредитовые переводы на основании платежных сообщений участников.</w:t>
      </w:r>
    </w:p>
    <w:bookmarkEnd w:id="54"/>
    <w:bookmarkStart w:name="z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системе применяются платежные сообщения с текущей и будущей датами платежа. Дата платежа устанавливается участником-инициатором от текущей даты до трех операционных дней, не включая дату передачи платежного сообщения в Центр. Платежные сообщения с будущей датой платежа хранятся в системе до наступления даты платежа, указанной в платежном сообщении.</w:t>
      </w:r>
    </w:p>
    <w:bookmarkEnd w:id="55"/>
    <w:bookmarkStart w:name="z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Переданное в Центр платежное сообщение с текущей или будущей датой валютирования отзывается участником путем направления в Центр информационного сообщения об отзыве платежного сообщения.</w:t>
      </w:r>
    </w:p>
    <w:bookmarkEnd w:id="56"/>
    <w:bookmarkStart w:name="z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Отозванные платежные сообщения считаются аннулированными и регистрируются Центром и участником в электронной форме. Отзыв участником платежных сообщений из системы после завершения операционного дня, соответствующего дате платежа, не допускается.</w:t>
      </w:r>
    </w:p>
    <w:bookmarkEnd w:id="57"/>
    <w:bookmarkStart w:name="z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Участник-бенефициар направляет в систему дебетовое платежное сообщение в адрес определенного участника-отправителя денег с датой платежа, превышающей текущую дату операционного дня системы не менее, чем на два операционных дня. Условия о выставлении дебетового платежного сообщения предусматриваются в договоре между участником-отправителем денег и участником-бенефициаром.</w:t>
      </w:r>
    </w:p>
    <w:bookmarkEnd w:id="58"/>
    <w:bookmarkStart w:name="z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течение трех рабочих дней со дня подписания договора между участником-отправителем денег и участником-бенефициаром участник-отправитель денег доводит до сведения Центра следующие сведения: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участника-отправителя денег, его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участника-бенефициара, его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дату договора, срок его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и индивидуальный идентификационный код 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сведения, согласованные сторонами в договоре между участником-отправителем денег и участником-бенефициаром.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Дебетовые платежные сообщения не направляются в пользу органов казначейства Министерства финансов Республики Казахстан.</w:t>
      </w:r>
    </w:p>
    <w:bookmarkStart w:name="z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Дебетовое платежное сообщение с датой платежа не менее двух операционных дней, направленное в Центр, попадает в кредитовую очередь участника-бенефициара и дебетовую очередь участника-отправителя денег, к которому предъявляется требование о выплате определенной суммы денег на день исполнения данного платежа.</w:t>
      </w:r>
    </w:p>
    <w:bookmarkEnd w:id="60"/>
    <w:bookmarkStart w:name="z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Дебетовое платежное сообщение не позднее операционного дня со дня получения направляется Центром участнику-отправителю денег.</w:t>
      </w:r>
    </w:p>
    <w:bookmarkEnd w:id="61"/>
    <w:bookmarkStart w:name="z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участника-отправителя денег на обработку Центром дебетового платежного сообщения и совершение платежа по нему участник-отправитель денег направляет Центру сообщение об аннулировании дебетового платежного сообщения из дебетовой очереди участника.</w:t>
      </w:r>
    </w:p>
    <w:bookmarkEnd w:id="62"/>
    <w:bookmarkStart w:name="z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Если до наступления срока исполнения платежа по дебетовому платежному сообщению Центром не получено сообщение участника-отправителя денег об аннулировании дебетового платежного сообщения из его дебетовой очереди, дебетовое платежное сообщение исполняется Центром.</w:t>
      </w:r>
    </w:p>
    <w:bookmarkEnd w:id="63"/>
    <w:bookmarkStart w:name="z5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Отзыв дебетового платежного сообщения осуществляется до его исполнения Центром.</w:t>
      </w:r>
    </w:p>
    <w:bookmarkEnd w:id="64"/>
    <w:bookmarkStart w:name="z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отзыва либо аннулирования дебетового платежного сообщения Центр извещает об этом участника-бенефициара и участника-отправителя денег.</w:t>
      </w:r>
    </w:p>
    <w:bookmarkEnd w:id="65"/>
    <w:bookmarkStart w:name="z6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Процедуры функционирования системы, порядок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участников с оператором и операционным центром,</w:t>
      </w:r>
      <w:r>
        <w:br/>
      </w:r>
      <w:r>
        <w:rPr>
          <w:rFonts w:ascii="Times New Roman"/>
          <w:b/>
          <w:i w:val="false"/>
          <w:color w:val="000000"/>
        </w:rPr>
        <w:t>меры информационной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Параграф 1. Функционирование системы и обмен электронными</w:t>
      </w:r>
      <w:r>
        <w:br/>
      </w:r>
      <w:r>
        <w:rPr>
          <w:rFonts w:ascii="Times New Roman"/>
          <w:b/>
          <w:i w:val="false"/>
          <w:color w:val="000000"/>
        </w:rPr>
        <w:t>сообщениями в системе, меры информационной безопасности</w:t>
      </w:r>
    </w:p>
    <w:bookmarkEnd w:id="66"/>
    <w:bookmarkStart w:name="z6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Участники обмениваются электронными сообщениями в соответствии с процедурами обмена и форматами, разработанными Центром по согласованию с Национальным Банком и применяемыми в системе (далее – Процедуры).</w:t>
      </w:r>
    </w:p>
    <w:bookmarkEnd w:id="67"/>
    <w:bookmarkStart w:name="z6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Процедуры доводятся Центром до участников в сроки, установленные договором об оказании услуг в системе путем опубликования на официальном интернет-ресурсе Центра.</w:t>
      </w:r>
    </w:p>
    <w:bookmarkEnd w:id="68"/>
    <w:bookmarkStart w:name="z6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системе соблюдаются меры информационной безопасности, установленные Центром, для определения факта передачи электронных сообщений и обнаружения ошибок при их передаче.</w:t>
      </w:r>
    </w:p>
    <w:bookmarkEnd w:id="69"/>
    <w:bookmarkStart w:name="z6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Центр разрабатывает и утверждает порядок аутентификации электронных сообщений.</w:t>
      </w:r>
    </w:p>
    <w:bookmarkEnd w:id="70"/>
    <w:bookmarkStart w:name="z6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Передача и прием платежных и информационных сообщений, в том числе информационных сообщений об отзыве платежных сообщений, в системе осуществляются электронным способом в течение операционного дня, определенного Национальным Банком в соответствии с графиком приема и обработки платежных документов.</w:t>
      </w:r>
    </w:p>
    <w:bookmarkEnd w:id="71"/>
    <w:bookmarkStart w:name="z6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Если платежное сообщение или информационное сообщение получены Центром после окончания операционного дня, они считаются полученными Центром в начале следующего операционного дня. Центр отказывает в исполнении платежного сообщения, поступившего в Центр с датой платежа прошедшего операционного дня, с направлением участнику-инициатору информационного сообщения о непроведении платежного сообщения с указанием причины.</w:t>
      </w:r>
    </w:p>
    <w:bookmarkEnd w:id="72"/>
    <w:bookmarkStart w:name="z6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если участник не осуществляет операций в системе в рабочий день, являющийся для системы операционным днем, Центр принимает платежные сообщения, поступающие в пользу данного участника, определяет его чистую позицию и осуществляет перевод денег по результатам клиринга.</w:t>
      </w:r>
    </w:p>
    <w:bookmarkEnd w:id="73"/>
    <w:bookmarkStart w:name="z7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Центр и участники обеспечивают хранение информации и осуществляют мониторинг отправляемых и получаемых электронных сообщений. Все электронные сообщения, обработанные Центром и участниками, оставляют аудиторский след во внутренних программных системах Центра и участников.</w:t>
      </w:r>
    </w:p>
    <w:bookmarkEnd w:id="74"/>
    <w:bookmarkStart w:name="z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Не допускаются изменения платежных сообщений при их обработке Центром.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35-1. В случае обнаружения Центром ошибок в структуре сводного платежного сообщения, Центром осуществляется обработка сводного платежного сообщения, за исключением вложенного в него платежного сообщения, в структуре которого допущена ошибка.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Сводное платежное сообщение, сформированное для осуществления платежей и (или) переводов денег,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безналичных платежей и (или) переводов денег на территории Республики Казахстан, утвержденных постановлением Правления Национального Банка республики Казахстан от 31 августа 2016 года № 208 (зарегистрировано в Реестре государственной регистрации нормативных правовых актов под № 14419), не обрабатывается Центром полностью при обнаружении ошибок в его структуре.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1 дополнен пунктом 35-1 в соответствии постановлением Правления Национального Банка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обеспечения конфиденциальности, целостности, подтверждения авторства и подлинности электронных поручений при обмене электронными сообщениями Центр и участники используют систему криптографической защиты информации и электронной цифровой подписи "Тумар", представляемую участнику Центром.</w:t>
      </w:r>
    </w:p>
    <w:bookmarkEnd w:id="78"/>
    <w:bookmarkStart w:name="z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системе применяется идентификация участников, построенная на крипто-протоколе двусторонней идентификации, согласно которой идентифицируется не только участник, но и центр системы.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идентификации участника происходит обмен информацией между системой и участником. Для обеспечения целостности передаваемой по каналу связи информации вычисляется имитовставка, предусматривающая применение защитных мер от умышленного или неумышленного внесения изменений (искажений) в передаваемую информацию. Для обеспечения конфиденциальности производится шифрование хранимой или передаваемой по открытым каналам информации, которое гарантирует защиту от несанкционированного доступа к этой информации и позволяет избежать компрометации информации.</w:t>
      </w:r>
    </w:p>
    <w:bookmarkStart w:name="z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Завершенность (окончательность) платежей и (или) переводов денег регулируется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системах.</w:t>
      </w:r>
    </w:p>
    <w:bookmarkEnd w:id="80"/>
    <w:bookmarkStart w:name="z7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Процедура многостороннего клиринга</w:t>
      </w:r>
    </w:p>
    <w:bookmarkEnd w:id="81"/>
    <w:bookmarkStart w:name="z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После завершения операционного дня Центр прекращает прием платежных сообщений в завершенный операционный день, производит клиринг принятых платежных сообщений и определяет чистую позицию каждого участника.</w:t>
      </w:r>
    </w:p>
    <w:bookmarkEnd w:id="82"/>
    <w:bookmarkStart w:name="z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Процедура клиринга производится в соответствии с кодами приоритетности. В пределах одного кода приоритетности платежные сообщения, относящиеся к одной очереди, обрабатываются в порядке их поступления в систему.</w:t>
      </w:r>
    </w:p>
    <w:bookmarkEnd w:id="83"/>
    <w:bookmarkStart w:name="z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Коды приоритетности разрабатываются и утверждаются Центром по согласованию с Национальным Банком.</w:t>
      </w:r>
    </w:p>
    <w:bookmarkEnd w:id="84"/>
    <w:bookmarkStart w:name="z7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Изменение приоритета платежного сообщения, находящегося в очереди, осуществляется участником-инициатором путем направления в систему информационного сообщения об изменении приоритета без отзыва платежного сообщения.</w:t>
      </w:r>
    </w:p>
    <w:bookmarkEnd w:id="85"/>
    <w:bookmarkStart w:name="z8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После определения чистой позиции каждого участника Центр резервирует у участников с дебетовой чистой позицией в межбанковской системе сумму денег, равную дебетовой чистой позиции данного участника.</w:t>
      </w:r>
    </w:p>
    <w:bookmarkEnd w:id="86"/>
    <w:bookmarkStart w:name="z8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Перевод денег по результатам клиринга осуществляется через позицию системы в межбанковской системе (далее – позиция системы).</w:t>
      </w:r>
    </w:p>
    <w:bookmarkEnd w:id="87"/>
    <w:bookmarkStart w:name="z8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Перевод денег по результатам клиринга в межбанковской системе производится в соответствии с чистой позицией каждого участника с использованием зарезервированной суммы денег в соответствии с пунктом 43 Правил. Перевод денег производится на основании указаний Центра о списании (зачислении) денег на сумму чистой позиции каждого участника.</w:t>
      </w:r>
    </w:p>
    <w:bookmarkEnd w:id="88"/>
    <w:bookmarkStart w:name="z8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Центр осуществляет в межбанковской системе перевод денег с позиций участников, имеющих по результатам клиринга дебетовую чистую позицию, на позицию системы, затем перевод денег с позиции системы в межбанковской системе на позиции участников, имеющих по результатам клиринга кредитовую чистую позицию. После завершения переводов денег по результатам клиринга остаток на позиции системы в межбанковской системе равен нулю.</w:t>
      </w:r>
    </w:p>
    <w:bookmarkEnd w:id="89"/>
    <w:bookmarkStart w:name="z8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Предоставление информационных сообщений в течение</w:t>
      </w:r>
      <w:r>
        <w:br/>
      </w:r>
      <w:r>
        <w:rPr>
          <w:rFonts w:ascii="Times New Roman"/>
          <w:b/>
          <w:i w:val="false"/>
          <w:color w:val="000000"/>
        </w:rPr>
        <w:t>и в конце операционного дня</w:t>
      </w:r>
    </w:p>
    <w:bookmarkEnd w:id="90"/>
    <w:bookmarkStart w:name="z8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течение операционного дня по запросу участника Центр направляет участнику: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информационное сообщение в виде выписки о состоянии позиции участника, содержащее перечень платежных сообщений, переданных данным участником в Центр, и поступивших в пользу данного участника;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сообщение о непроведенных платежных сообщениях, содержащее перечень непроведенных платежных сообщений с указанием причины непроведения каждого платежного сообщения.</w:t>
      </w:r>
    </w:p>
    <w:bookmarkStart w:name="z8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Центр представляет участникам информационные сообщения, содержащие информацию о платежных сообщениях, как с текущей, так и с будущей датой платежа. В запросе участника на получение информационного сообщения в виде выписки указывается дата, по которой участник запросил получение информационного сообщения в виде выписки.</w:t>
      </w:r>
    </w:p>
    <w:bookmarkEnd w:id="92"/>
    <w:bookmarkStart w:name="z8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Центр после завершения переводов денег направляет участнику окончательное информационное сообщение в виде выписки, содержащее информацию о платежных сообщениях, обработанных в системе, и информацию о чистой позиции участника по результатам клиринга, а также ведомость непроведенных платежных сообщений и все платежные сообщения, поступившие в пользу данного участника и указанные в окончательном информационном сообщении в виде выписки.</w:t>
      </w:r>
    </w:p>
    <w:bookmarkEnd w:id="93"/>
    <w:bookmarkStart w:name="z8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Если информационное сообщение в виде выписки о состоянии позиции участника в системе не содержит информации об электронном сообщении, переданном участником в Центр, участник уведомляет об этом Центр и совместно с Центром не позднее следующего операционного дня выясняет причину утери электронного сообщения.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несвоевременном получении электронных сообщений или их отсутствии участник уведомляет Центр.</w:t>
      </w:r>
    </w:p>
    <w:bookmarkStart w:name="z8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Система управления рисками в системе</w:t>
      </w:r>
    </w:p>
    <w:bookmarkEnd w:id="95"/>
    <w:bookmarkStart w:name="z9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Особенности функционирования программно-технического комплекса системы устанавливаются документами Центра.</w:t>
      </w:r>
    </w:p>
    <w:bookmarkEnd w:id="96"/>
    <w:bookmarkStart w:name="z9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целях выявления, измерения и мониторинга рисков ликвидности, кредитного и системного риска Национальный Банк и Центр осуществляют надзор (оверсайт) за системой, в том числе, анализ и оценку функционирования системы на соответствие международным стандартам.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управления риском ликвидности, кредитным и системным рисками при недостаточности денег в межбанковской системе для расчета чистой позиции участника (чистых позиций участников) система аннулирует платежные сообщения на необходимую сумму и перерасчитывает чистые позиции участников (метод раскрутки очереди).</w:t>
      </w:r>
    </w:p>
    <w:bookmarkStart w:name="z9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Для управления операционным риском используются следующие методы: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Национальным Банком контроля и надзора за организацией и функционированием системы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постоянный мониторинг и поддержание Центром беспрерывной работы программно-технического комплекса системы в соответствии с методами, определенными внутренними документам Центра по управлению операционным риском;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поддержание в актуальном состоянии плана восстановления деятельности системы с учетом возможных сценариев остановки работы системы и тестирование Национальным Банком совместно с Центром данного плана с переводом работы системы с основного центра на резервный центр не менее двух раз в течение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работоспособности резервного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перевод работы системы с основного центра на резервный центр при наличии сбоев или простоев в работе программно-технического комплекса системы, не подлежащих восстановлению в основном центре.</w:t>
      </w:r>
    </w:p>
    <w:bookmarkStart w:name="z9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Национальный Банк совместно с Центром и участниками проводит анализ используемых методов управления рисками не менее одного раза в течение двух лет. По результатам анализа принимается решение о сохранении или изменении методов управления рисками.</w:t>
      </w:r>
    </w:p>
    <w:bookmarkEnd w:id="99"/>
    <w:bookmarkStart w:name="z9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Мониторинг и надзор (оверсайт) системы</w:t>
      </w:r>
    </w:p>
    <w:bookmarkEnd w:id="100"/>
    <w:bookmarkStart w:name="z9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Национальным Банком осуществляется мониторинг системы в режиме реального времени и надзор (оверсайт) за системой.</w:t>
      </w:r>
    </w:p>
    <w:bookmarkEnd w:id="101"/>
    <w:bookmarkStart w:name="z9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Мониторинг системы в режиме реального времени осуществляется Национальным Банком путем наблюдения позиций участников системы в течение операционного дня.</w:t>
      </w:r>
    </w:p>
    <w:bookmarkEnd w:id="102"/>
    <w:bookmarkStart w:name="z9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Надзор (оверсайт) за системой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Банке.</w:t>
      </w:r>
    </w:p>
    <w:bookmarkEnd w:id="103"/>
    <w:bookmarkStart w:name="z9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Участниками проводится мониторинг состояния своей позиции в системе, в том числе, путем получения выписок от Центра.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