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f7a1" w14:textId="e5cf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страховой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мая 2016 года № 127. Зарегистрировано в Министерстве юстиции Республики Казахстан 3 октября 2016 года № 14277.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страховой деятельности, в которые вносятся изменения (далее – Перечень).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надзора (Курманов Ж.Б.)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который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информации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Сарсенов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Кусаинов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августа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информации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 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августа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127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регулирования страховой деятельности,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февраля 2004 года № 35 "Об утверждении Инструкции о требованиях к порядку проведения внутреннего аудита страховой (перестраховочной) организации" (зарегистрированное в Реестре государственной регистрации нормативных правовых актов под № 2752, опубликованное 14 сентября 2005 года в газете "Юридическая газета" № 168) следующее изменение: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Инструкции о требованиях к порядку проведения внутреннего аудита в страховой (перестраховочной) организации, утвержденной указанным постановлением: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соблюдением установленных уполномоченным органом по регулированию, контролю и надзору финансового рынка и финансовых организаций (далее - уполномоченный орган) пруденциальных нормативов и иных обязательных к соблюдению норм и лимитов;".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декабря 2004 года № 374 "Об утверждении Правил об увеличении размера регулярных страховых выплат в период действия договоров аннуитета на основании актуарного заключения и требованиях к его содержанию" (зарегистрированное в Реестре государственной регистрации нормативных правовых актов под № 3417) следующее изменение: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увеличении размера регулярных страховых выплат в период действия договоров аннуитета на основании актуарного заключения и требованиях к его содержанию, утвержденных указанным постановлением: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об увеличении размера регулярных страховых выплат в период действия договоров аннуитета на основании актуарного заключения и требованиях к его содержанию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4 июля 2003 года "О государственном регулировании, контроле и надзоре финансового рынка и финансовых организаций",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18 декабря 2000 года "О страховой деятельности" и определяют порядок и условия увеличения размера регулярных страховых выплат в период действия договоров аннуитета на основании заключения актуария, а также требования к его содержанию.".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85 "Об утверждении Инструкции по требованиям к методам оценки и принципам расчета страховых тарифов по классам (видам) страхования страховых (перестраховочных) организаций" (зарегистрированное в Реестре государственной регистрации нормативных правовых актов под № 4204) следующее изменение: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требованиям к методам оценки и принципам расчета страховых тарифов по классам (видам) страхования страховых (перестраховочных) организаций, утвержденной указанным постановлением: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уполномоченный государственный орган - государственный орган, осуществляющий регулирование, контроль и надзор финансового рынка и финансовых организаций.".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Агентства РК по регулированию и развитию финансового рынка от 14.06.2021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177 "Об утверждении Требований к деятельности организации по формированию и ведению базы данных" (зарегистрированное в Реестре государственной регистрации нормативных правовых актов под № 4860) следующие изменения: 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организации по формированию и ведению базы данных, утвержденных указанным постановлением: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уполномоченный орган - государственный орган, осуществляющий регулирование, контроль и надзор финансового рынка и финансовых организаций;";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Поставщик информации, указанный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представляет в Организацию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25 "Об утверждении Требований к осуществлению страховой организацией страховой деятельности, в том числе по взаимоотношениям с участниками страхового рынка, и полномочия страхового агента на осуществление посреднической деятельности на страховом рынке", зарегистрированным в Реестре государственной регистрации нормативных правовых актов под № 6164, в режиме реального времени.";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Алгоритмы, используемые для защиты информации при аутентификации пользователей и передаче данных, сертифицируются в Республике Казахстан в соответствии с требованиями государственного стандарта Республики Казахстан СТ РК 1073-2007 "Средства криптографической защиты информации. Общие технические требования".".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25 "Об утверждении Требований к осуществлению страховой организацией страховой деятельности, в том числе по взаимоотношениям с участниками страхового рынка, и полномочия страхового агента на осуществление посреднической деятельности на страховом рынке" (зарегистрированное в Реестре государственной регистрации нормативных правовых актов под № 6164, опубликованное 22 сентября 2010 года в газете "Казахстанская правда" № 249 (26310)) следующие изменения: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осуществлению страховой организацией страховой деятельности, в том числе по взаимоотношениям с участниками страхового рынка, и полномочиях страхового агента на осуществление посреднической деятельности на страховом рынке, утвержденных указанным постановлением: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"Договор страхования со страхователем заключается после принятия страховой организацией мер по надлежащей проверке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терроризма". Страховая организация обеспечивает соблюдение требований по надлежащей проверке клиента страховыми агентами, с которыми заключены договоры поручения.";</w:t>
      </w:r>
    </w:p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сведения о страхователе: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вступления в силу и окончания действия договора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застрахованном: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вступления в силу и окончания действия договора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(юридического лица);";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"фамилия, имя, отчество (при его наличии);";</w:t>
      </w:r>
    </w:p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организует обучение страхового агента, в том числе по вопросам противодействия легализации (отмыванию) доходов, полученных преступным путем и финансированию терроризма.";</w:t>
      </w:r>
    </w:p>
    <w:bookmarkStart w:name="z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заключение договора страхования путем присоединения страхователя к типовым условиям (правилам страхования), разработанным страховщиком в одностороннем порядке (договор присоединения), и выдачи страховщиком страхователю страхового полиса, оформляемого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24 "Об утверждении Требований к содержанию и изготовлению бланков страховых полисов, оформлению страховых полисов по обязательному страхованию гражданско-правовой ответственности владельцев транспортных средств, обязательному страхованию гражданско-правовой ответственности туроператора и турагента, а также к содержанию заявлений страхователя для заключения договоров обязательного страхования по отдельным видам обязательного страхования", зарегистрированным в Реестре государственной регистрации нормативных правовых актов под № 6171;";</w:t>
      </w:r>
    </w:p>
    <w:bookmarkStart w:name="z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фамилия, имя, отчество (при его наличии), дата рождения, номер, дата и орган выдачи документа, удостоверяющего личность, индивидуальный идентификационный номер, место жительства, юридический адрес страхового агента (для физических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бизнес-идентификационный номер, место нахождения, юридический адрес, банковские реквизиты страхового агента (для юридических лиц), контактные номера телефонов;";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28 "Об утверждении нормативных правовых актов, регулирующих организацию и осуществление деятельности по обязательному страхованию работника от несчастных случаев при исполнении им трудовых (служебных) обязанностей" (зарегистрированное в Реестре государственной регистрации нормативных правовых актов Республики Казахстан под № 6156, опубликованное 7 июля 2010 года в Собрании актов центральных исполнительных и иных центральных государственных органов Республики Казахстан № 12) следующие изменения: 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аннуитета, утвержденных указанным постановлением: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Страховые организации при расчете фактора текущей стоимости аннуитетных выплат по договорам аннуитета используют показатели смертности, не превышающие показатели,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октября 2015 года № 194 "Об утверждении типового договора пенсионного аннуитета, установлении Методики расчета страховой премии и страховой выплаты из страховой организации по договору пенсионного аннуитета, допустимого уровня расходов страховой организации на ведение дела по заключаемым договорам пенсионного аннуитета, а также ставки индексации страховой выплаты", зарегистрированным в Реестре государственной регистрации нормативных правовых актов под № 12318 (далее - Постановление № 194).</w:t>
      </w:r>
    </w:p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фактора текущей стоимости аннуитетных выплат по договорам аннуитета, заключенным в пользу пострадавшего работника, а также лиц, имеющих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право на возмещение вреда, используются следующие показатели смертности:</w:t>
      </w:r>
    </w:p>
    <w:bookmarkEnd w:id="33"/>
    <w:bookmarkStart w:name="z1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пострадавшего работника -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женщин старше пятидесяти восьми лет и мужчин старше шестидесяти трех лет -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 № 194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инвалидов старше шестнадцатилетнего возраста -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1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инвалидов, не достигших шестнадцатилетнего возраста, несовершеннолетних, учащихся, родителей, супруги либо другого члена семьи, занятого уходом за находившимися на иждивении детьми, внуками, братьями и сестрами умершего работника, используются показатели смертности равные нулю.";</w:t>
      </w:r>
    </w:p>
    <w:bookmarkEnd w:id="37"/>
    <w:bookmarkStart w:name="z1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Показатели смертности, являющиеся ниже показателей смертности,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согласованию с уполномоченным органом по регулированию, контролю и надзору финансового рынка и финансовых организаций (далее - уполномоченный орган).";</w:t>
      </w:r>
    </w:p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фамилия, имя, отчество (при его наличии), дата рождения, номер, дата и орган выдачи документа, удостоверяющего личность, индивидуальный идентификационный номер, признак резидентства (резидент/нерезидент) и сектора экономики, место жительства страхователя (для физических лиц), контактные номера телефонов;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наименование, бизнес-идентификационный номер, признак резидентства (резидент/нерезидент) и сектора экономики, место нахождения, банковские реквизиты страхователя (для юридических лиц), контактные номера телефонов;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о застрахованном (выгодоприобретателе) (фамилия, имя, отчество (при его наличии), дата рождения, номер, дата и орган выдачи документа, удостоверяющего личность, индивидуальный идентификационный номер, признак резидентства (резидент/нерезидент), место жительства, контактные номера телефонов);".</w:t>
      </w:r>
    </w:p>
    <w:bookmarkStart w:name="z1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и надзору финансового рынка и финансовых организаций от 3 сентября 2010 года № 135 "Об утверждении Инструкции о мерах по поддержанию страховым холдингом, а также крупным участником страховой (перестраховочной) организации – физическим лицом, владеющим прямо или косвенно более двадцатью пятью процентами голосующих (за вычетом привилегированных) акций страховой (перестраховочной) организации, пруденциальных нормативов" (зарегистрированное в Реестре государственной регистрации нормативных правовых актов под № 6546, опубликованное 11 ноября 2010 года в газете "Казахстанская правда" № 303-305 (26364-26366)) следующее изменение: 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поддержанию страховым холдингом, а также крупным участником страховой (перестраховочной) организации – физическим лицом, владеющим прямо или косвенно более двадцатью пятью процентами голосующих (за вычетом привилегированных) акций страховой (перестраховочной) организации, пруденциальных нормативов, утвержденной указанным постановлением:</w:t>
      </w:r>
    </w:p>
    <w:bookmarkEnd w:id="41"/>
    <w:bookmarkStart w:name="z1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"Страховые холдинги и крупные участники поддерживают нормативы достаточности маржи платежеспособности и высоколиквидных активов страховой (перестраховочной) организации (далее - пруденциальные нормативы страховой (перестраховочной) организации) и норматив достаточности маржи платежеспособности страховой группы,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22 августа 2008 года № 131 "Об утверждении Инструкции об установлении пруденциальных нормативов и иных обязательных к соблюдению норм и лимитов для страховой (перестраховочной) организации и страховой группы, включая минимальные размеры уставного капитала, гарантийного фонда, маржи платежеспособности и сроках представления отчетов о выполнении пруденциальных нормативов", зарегистрированным в Реестре государственной регистрации нормативных правовых актов под № 5331 (далее - постановление № 131).".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54 "Об утверждении Правил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разрешения" (зарегистрированное в Реестре государственной регистрации нормативных правовых актов под № 7542, опубликованное 30 июня 2012 года в газете "Казахстанская правда" № 207-208 (27026-27027)) следующее изменение: </w:t>
      </w:r>
    </w:p>
    <w:bookmarkEnd w:id="43"/>
    <w:bookmarkStart w:name="z1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"представление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года, заключения антимонопольного органа о выполнении требований антимонопольного законодательства Республики Казахстан в результате предполагаемой реорганизации.".</w:t>
      </w:r>
    </w:p>
    <w:bookmarkStart w:name="z1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74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банков второго уровня, страховых (перестраховочных) организаций и формы отчетности о доходах, выплаченных всем руководящим работникам банков второго уровня и страховых (перестраховочных) организаций" (зарегистрированное в Реестре государственной регистрации нормативных правовых актов под № 7525, опубликованное 24 мая 2012 года в газете "Казахстанская правда" № 150-151 (26969-26970)) следующие изменения: </w:t>
      </w:r>
    </w:p>
    <w:bookmarkEnd w:id="45"/>
    <w:bookmarkStart w:name="z1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- Национальный Банк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Финансовая организация в течение ста двадцати календарных дней по окончании финансового года представляет в уполномоченный орган в электронном формате отчетность, включающую сведения о доходах, выплаченных финансовой организацией всем руководящим работникам финансовой организации в течение финансового года (далее - Отчет),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99 "Об утверждении Требований к системе управления рисками и внутреннего контроля страховой группы" (зарегистрированное в Реестре государственной регистрации нормативных правовых актов под № 7559, опубликованное 4 августа 2012 года в газете "Казахстанская правда" № 251-253 (27070-27072)) следующее изменение: </w:t>
      </w:r>
    </w:p>
    <w:bookmarkEnd w:id="47"/>
    <w:bookmarkStart w:name="z1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управления рисками и внутреннего контроля страховой группы, утвержденных указанным постановлением:</w:t>
      </w:r>
    </w:p>
    <w:bookmarkEnd w:id="48"/>
    <w:bookmarkStart w:name="z1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представляет в Национальный Банк Республики Казахстан (далее - уполномоченный орган) в срок до 15 января года, следующего за отчетным годом, годовой отчет по оценке выполнения критериев Требований, содержащий: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самостоятельную оценку соответствия Требованиям по форме, в соответствии с приложением к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объяснение с приложением плана мероприятий по устранению несоответствий, указанием ответственных лиц и сроков исполнения мероприятий, в случае выявления несоответствий определенному критерию требования (определенным критериям требований).".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138 "О порядке и сроках публикации финансовой отчетности банковскими и страховыми холдингами" (зарегистрированное в Реестре государственной регистрации нормативных правовых актов под № 7648, опубликованное 16 августа 2012 года в газете "Казахстанская правда" № 271-273 (27090-27092)) следующее изменение: </w:t>
      </w:r>
    </w:p>
    <w:bookmarkEnd w:id="50"/>
    <w:bookmarkStart w:name="z1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Банковским и страховым холдингам, являющимся резидентами Республики Казахстан, ежегодно в течение одного месяца после представления годовой финансовой отчетности в Национальный Банк Республики Казахстан (далее - уполномоченный орган) публиковать в средствах массовой информации:".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Утратил силу постановлением Правления Национального Банка РК от 27.04.2018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Утратил силу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147 "Об утверждении Правил назначения и полномочий временной администрации (временного администратора) банка, страховой (перестраховочной) организации" (зарегистрированное в Реестре государственной регистрации нормативных правовых актов под № 9711, опубликованное 3 октября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 следующее изменение: </w:t>
      </w:r>
    </w:p>
    <w:bookmarkEnd w:id="52"/>
    <w:bookmarkStart w:name="z1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полномочий временной администрации (временного администратора) банка, страховой (перестраховочной) организации, утвержденных указанным постановлением: </w:t>
      </w:r>
    </w:p>
    <w:bookmarkEnd w:id="53"/>
    <w:bookmarkStart w:name="z1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Временная администрация в день составления акта о воспрепятствовании направляет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акт о воспрепятствовании в уполномоченный орган для принятия решения о возбуждении дела об административном правонарушении.".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24. Утратил силу постановлением Правления Агентства РК по регулированию и развитию финансового рынка от 24.08.2020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Утратил силу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требованиях по наличию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 рисками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организацией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взаимоотношениям с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рынка, и полномочиям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агента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страховом рынке</w:t>
            </w:r>
          </w:p>
        </w:tc>
      </w:tr>
    </w:tbl>
    <w:bookmarkStart w:name="z3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информации, необходимой для отражения в</w:t>
      </w:r>
      <w:r>
        <w:br/>
      </w:r>
      <w:r>
        <w:rPr>
          <w:rFonts w:ascii="Times New Roman"/>
          <w:b/>
          <w:i w:val="false"/>
          <w:color w:val="000000"/>
        </w:rPr>
        <w:t>аналитическом учете и программном обеспечении страховой</w:t>
      </w:r>
      <w:r>
        <w:br/>
      </w:r>
      <w:r>
        <w:rPr>
          <w:rFonts w:ascii="Times New Roman"/>
          <w:b/>
          <w:i w:val="false"/>
          <w:color w:val="000000"/>
        </w:rPr>
        <w:t>организации о договоре страхования (перестрахования)</w:t>
      </w:r>
    </w:p>
    <w:bookmarkEnd w:id="55"/>
    <w:bookmarkStart w:name="z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Идентификатор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страхования</w:t>
      </w:r>
    </w:p>
    <w:bookmarkEnd w:id="56"/>
    <w:bookmarkStart w:name="z3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Идентификатор изменения договора страхования</w:t>
      </w:r>
    </w:p>
    <w:bookmarkEnd w:id="57"/>
    <w:bookmarkStart w:name="z3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Страхователь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58"/>
    <w:bookmarkStart w:name="z3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Застрахованный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59"/>
    <w:bookmarkStart w:name="z3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страхователя</w:t>
      </w:r>
    </w:p>
    <w:bookmarkEnd w:id="60"/>
    <w:bookmarkStart w:name="z3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Даты соответствующих операций в бухгалтерском учете</w:t>
      </w:r>
    </w:p>
    <w:bookmarkEnd w:id="61"/>
    <w:bookmarkStart w:name="z3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Тип операции в бухгалтерском учете</w:t>
      </w:r>
    </w:p>
    <w:bookmarkEnd w:id="62"/>
    <w:bookmarkStart w:name="z3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Сумма операции в бухгалтерском учете</w:t>
      </w:r>
    </w:p>
    <w:bookmarkEnd w:id="63"/>
    <w:bookmarkStart w:name="z3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Класс страхования</w:t>
      </w:r>
    </w:p>
    <w:bookmarkEnd w:id="64"/>
    <w:bookmarkStart w:name="z3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Количество объектов страхования</w:t>
      </w:r>
    </w:p>
    <w:bookmarkEnd w:id="65"/>
    <w:bookmarkStart w:name="z3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Область, столица и город республиканского значения</w:t>
      </w:r>
    </w:p>
    <w:bookmarkEnd w:id="66"/>
    <w:bookmarkStart w:name="z3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Номер договора страхования</w:t>
      </w:r>
    </w:p>
    <w:bookmarkEnd w:id="67"/>
    <w:bookmarkStart w:name="z3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заключения договора страхования</w:t>
      </w:r>
    </w:p>
    <w:bookmarkEnd w:id="68"/>
    <w:bookmarkStart w:name="z3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начала действия договора страхования</w:t>
      </w:r>
    </w:p>
    <w:bookmarkEnd w:id="69"/>
    <w:bookmarkStart w:name="z3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окончания действия договора страхования</w:t>
      </w:r>
    </w:p>
    <w:bookmarkEnd w:id="70"/>
    <w:bookmarkStart w:name="z3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страховой суммы</w:t>
      </w:r>
    </w:p>
    <w:bookmarkEnd w:id="71"/>
    <w:bookmarkStart w:name="z3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Размер страховой премии</w:t>
      </w:r>
    </w:p>
    <w:bookmarkEnd w:id="72"/>
    <w:bookmarkStart w:name="z3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Страховой посредник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73"/>
    <w:bookmarkStart w:name="z3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Размер комиссионного вознаграждения</w:t>
      </w:r>
    </w:p>
    <w:bookmarkEnd w:id="74"/>
    <w:bookmarkStart w:name="z3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Идентификатор договора перестрахования</w:t>
      </w:r>
    </w:p>
    <w:bookmarkEnd w:id="75"/>
    <w:bookmarkStart w:name="z3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Наименование перестраховщика</w:t>
      </w:r>
    </w:p>
    <w:bookmarkEnd w:id="76"/>
    <w:bookmarkStart w:name="z3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Номер договора перестрахования</w:t>
      </w:r>
    </w:p>
    <w:bookmarkEnd w:id="77"/>
    <w:bookmarkStart w:name="z3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Статус резидентства перестраховщика</w:t>
      </w:r>
    </w:p>
    <w:bookmarkEnd w:id="78"/>
    <w:bookmarkStart w:name="z3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Рейтинговая оценка перестраховщика</w:t>
      </w:r>
    </w:p>
    <w:bookmarkEnd w:id="79"/>
    <w:bookmarkStart w:name="z3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Рейтинговое агентство</w:t>
      </w:r>
    </w:p>
    <w:bookmarkEnd w:id="80"/>
    <w:bookmarkStart w:name="z3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начала действия договора перестрахования</w:t>
      </w:r>
    </w:p>
    <w:bookmarkEnd w:id="81"/>
    <w:bookmarkStart w:name="z3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Дата окончания действия договора перестрахования</w:t>
      </w:r>
    </w:p>
    <w:bookmarkEnd w:id="82"/>
    <w:bookmarkStart w:name="z3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Объем ответственности, переданной в перестрахование</w:t>
      </w:r>
    </w:p>
    <w:bookmarkEnd w:id="83"/>
    <w:bookmarkStart w:name="z3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Размер собственного удержания ответственности по договору страхования</w:t>
      </w:r>
    </w:p>
    <w:bookmarkEnd w:id="84"/>
    <w:bookmarkStart w:name="z3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Размер страховой премии, переданной перестраховщику</w:t>
      </w:r>
    </w:p>
    <w:bookmarkEnd w:id="85"/>
    <w:bookmarkStart w:name="z3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Размер собственного удержания страховой премии</w:t>
      </w:r>
    </w:p>
    <w:bookmarkEnd w:id="86"/>
    <w:bookmarkStart w:name="z3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Размер комиссии от перестраховщика</w:t>
      </w:r>
    </w:p>
    <w:bookmarkEnd w:id="87"/>
    <w:bookmarkStart w:name="z3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Размер комиссии цеденту (перестрахователю)</w:t>
      </w:r>
    </w:p>
    <w:bookmarkEnd w:id="88"/>
    <w:bookmarkStart w:name="z3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Заявитель убытка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89"/>
    <w:bookmarkStart w:name="z3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Идентификатор события, имеющего признаки страхового случая</w:t>
      </w:r>
    </w:p>
    <w:bookmarkEnd w:id="90"/>
    <w:bookmarkStart w:name="z3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Дата события, имеющего признаки страхового случая</w:t>
      </w:r>
    </w:p>
    <w:bookmarkEnd w:id="91"/>
    <w:bookmarkStart w:name="z3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Идентификатор заявленного убытка</w:t>
      </w:r>
    </w:p>
    <w:bookmarkEnd w:id="92"/>
    <w:bookmarkStart w:name="z3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Дата уведомления страховщика о событии, имеющего признаки страхового случая</w:t>
      </w:r>
    </w:p>
    <w:bookmarkEnd w:id="93"/>
    <w:bookmarkStart w:name="z3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Дата подтверждения страховщиком факта наступления страхового случая, то есть признания страховщиком убытка как заявленный</w:t>
      </w:r>
    </w:p>
    <w:bookmarkEnd w:id="94"/>
    <w:bookmarkStart w:name="z3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Получатель страховой выплаты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95"/>
    <w:bookmarkStart w:name="z3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Размер заявленного убытка с учетом всех вычетов в соответствии с условиями договора страхования</w:t>
      </w:r>
    </w:p>
    <w:bookmarkEnd w:id="96"/>
    <w:bookmarkStart w:name="z3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Сумма расходов страховщика на урегулирование убытка</w:t>
      </w:r>
    </w:p>
    <w:bookmarkEnd w:id="97"/>
    <w:bookmarkStart w:name="z3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Размер заявленного убытка, относящегося перестраховщику согласно условиям договора перестрахования</w:t>
      </w:r>
    </w:p>
    <w:bookmarkEnd w:id="98"/>
    <w:bookmarkStart w:name="z3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Чистая сумма заявленного убытка за минусом убытков отнесенных перестраховщику (-кам)</w:t>
      </w:r>
    </w:p>
    <w:bookmarkEnd w:id="99"/>
    <w:bookmarkStart w:name="z3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Идентификатор страховой выплаты или отказа в страховой выплате</w:t>
      </w:r>
    </w:p>
    <w:bookmarkEnd w:id="100"/>
    <w:bookmarkStart w:name="z3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Дата страховой выплаты или отказа в страховой выплате</w:t>
      </w:r>
    </w:p>
    <w:bookmarkEnd w:id="101"/>
    <w:bookmarkStart w:name="z3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Размер страховой выплаты</w:t>
      </w:r>
    </w:p>
    <w:bookmarkEnd w:id="102"/>
    <w:bookmarkStart w:name="z3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Идентификатор оплаты по регрессному требованию</w:t>
      </w:r>
    </w:p>
    <w:bookmarkEnd w:id="103"/>
    <w:bookmarkStart w:name="z3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Дата оплаты регрессного требования</w:t>
      </w:r>
    </w:p>
    <w:bookmarkEnd w:id="104"/>
    <w:bookmarkStart w:name="z3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Размер оплаты по регрессному требованию</w:t>
      </w:r>
    </w:p>
    <w:bookmarkEnd w:id="105"/>
    <w:bookmarkStart w:name="z3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bookmarkStart w:name="z3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уникальный признак</w:t>
      </w:r>
    </w:p>
    <w:bookmarkEnd w:id="107"/>
    <w:bookmarkStart w:name="z3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физического лица:</w:t>
      </w:r>
    </w:p>
    <w:bookmarkEnd w:id="108"/>
    <w:bookmarkStart w:name="z3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дата рождения, пол;</w:t>
      </w:r>
    </w:p>
    <w:bookmarkEnd w:id="109"/>
    <w:bookmarkStart w:name="z3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110"/>
    <w:bookmarkStart w:name="z3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сектора экономики;</w:t>
      </w:r>
    </w:p>
    <w:bookmarkEnd w:id="111"/>
    <w:bookmarkStart w:name="z3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резидентства (резидент/нерезидент Республики Казахстан);</w:t>
      </w:r>
    </w:p>
    <w:bookmarkEnd w:id="112"/>
    <w:bookmarkStart w:name="z3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113"/>
    <w:bookmarkStart w:name="z3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114"/>
    <w:bookmarkStart w:name="z3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номер;</w:t>
      </w:r>
    </w:p>
    <w:bookmarkEnd w:id="115"/>
    <w:bookmarkStart w:name="z3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сектора экономики;</w:t>
      </w:r>
    </w:p>
    <w:bookmarkEnd w:id="116"/>
    <w:bookmarkStart w:name="z3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резидентства (резидент/нерезидент Республики Казахстан).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</w:tbl>
    <w:bookmarkStart w:name="z5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размещенных вкладах финансовой организации"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Агентства РК по регулированию и развитию финансового рынка от 24.08.2020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