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722d" w14:textId="ea27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26 декабря 2015 года № 156 "Об утверждении Правил отбора кандидатов, принимаемых на службу в органы прокуратуры Республики Казахстан и их предварительного изучения"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 августа 2016 года № 132. Зарегистрирован в Министерстве юстиции Республики Казахстан 7 сентября 2016 года № 14213. Утратил силу приказом Генерального Прокурора Республики Казахстан от 13 января 2023 года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13.01.2023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правоохранительной службе" от 6 января 2011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26 декабря 2015 года № 156 "Об утверждении Правил отбора кандидатов, принимаемых на службу в органы прокуратуры Республики Казахстан и их предварительного изучения" (зарегистрированный в Реестре государственной регистрации нормативных правовых актов под № 12782, опубликованный 21 июля 2016 года № 138 (28264) в газете "Казахстанская правда"),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кандидатов, принимаемых на службу в органы прокуратуры Республики Казахстан и их предварительного изучения,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Пороговые значения по тесту составляют не менее 70 % правильных ответов от общего количества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по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Прокуратуре"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Этическому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 (Правила служебной этики государственных служащих), утвержденному Указом Президента Республики Казахстан от 29 декабря 2015 года № 153 (далее – Этический кодекс), количество правильных ответов должно составлять не менее 70 % от каждого нормативного правового акта.";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Генеральной прокуратуры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Генеральной прокуратуры Республики Казахстан.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кадровой работы Генеральной прокуратуры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2016 года №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кандидатов, 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службу в органы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предварительного изучения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 компьютерного тестирования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заданий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C-GP-1,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C-GP-2,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C-ОGP-2,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C-ОGP-3,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C-A-GP-1,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C-A-GP-2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 на знание законодательства Республики Казахстан включает вопросы на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(15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(4 вопроса),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процессуального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(4 вопроса),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(4 вопроса),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(4 вопроса),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административных правонарушениях" (4 вопроса),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(5 вопросов),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(5 вопросов),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Прокуратуре"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(12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порядке рассмотрения обращений физических и юридических лиц"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(10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процедурах"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языках в Республике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религиозной деятельности и религиозных объединениях"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(5 вопросов),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правовых актах"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национальной безопасности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(3 вопроса),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(10 вопросов)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вопросов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C-GP-3,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C-GP-4,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C-ОGP-4,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C-ОGP-5,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C-RGP-1,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C-A-GP-3,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C-A-GP-4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 на знание законодательства Республики Казахстан включает вопросы на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(15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процессуального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административных правонарушениях" 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(5 вопросов),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Республики Казахстан (5 вопросов),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Прокуратуре"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(12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порядке рассмотрения обращений физических и юридических лиц"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(10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процедурах"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языках в Республике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религиозной деятельности и религиозных объединениях"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(5 вопросов),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правовых актах"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национальной безопасности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(3 вопроса),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(10 вопросов)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вопросов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C-GP-5,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C-GP-6,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C-ОGP-6,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C-RGP-2,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C-A-GP-5,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C-A-GP-6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 на знание законодательства Республики Казахстан включает вопросы на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(15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(8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процессуального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(8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административных правонарушениях" 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(7 вопросов),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Республики Казахстан (5 вопросов),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Прокуратуре"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(12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порядке рассмотрения обращений физических и юридических лиц"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(10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процедурах"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языках в Республике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религиозной деятельности и религиозных объединениях"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(5 вопросов),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правовых актах"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(10 вопросов)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вопросов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C-ОGP-7,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C-ОGP-8-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C-RGP-3,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C-RGP-4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 на знание законодательства Республики Казахстан включает вопросы на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(15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(10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процессуального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(8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административных правонарушениях" (8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(7 вопросов),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Прокуратуре"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(10 вопросов),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порядке рассмотрения обращений физических и юридических лиц"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(10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(7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процедурах"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языках в Республике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(10 вопросов)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вопросов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C-RGP-5,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C-ОGP-8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 на знание законодательства Республики Казахстан включает вопросы на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(15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(10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административных правонарушениях" (7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(10 вопросов),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Прокуратуре"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(10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порядке рассмотрения обращений физических и юридических лиц"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(10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(10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(6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процедурах"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(6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языках в Республике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(6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правовых актах"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(5 вопросов),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(10 вопросов)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вопросов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