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0f25" w14:textId="6de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и формирования резерва на урегулирование гарантийных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июля 2016 года № 347. Зарегистрирован в Министерстве юстиции Республики Казахстан 31 августа 2016 года № 14183.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формирования резерва на урегулирование гарантийных случаев.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октября 2016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347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и формирования резерва на урегулирование гарантийных случаев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и формирования резерва на урегулирование гарантийных случаев (далее – Методика) разработана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(далее – Закон).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регламентирует расчет и формирование целевого уровня и размера резерва Единым оператором жилищного строительства (далее – Единый оператор) на дату заключения договора о предоставлении гарантии и (или) договора о предоставлении гарантии в рамках реновации для покрытия обязательств, связанных с завершением строительства многоквартирного жилого дома или комплекса индивидуальных жилых домов или проектов реновации ветхого и аварийного жилья в гарантийных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единообразного применения в настоящей Методике используются следующие понятия: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потери/убытки (Expected losses – EL) – сумма ожидаемых расходов, возникающих в процессе завершения строительства многоквартирного жилого дома или комплекса индивидуальных жилых домов или проектов реновации ветхого и аварийного жилья с учетом вероятности наступления гарантийного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целевой уровень резерва на урегулирование гарантийных случаев (Target Reserve Ratio – TRR) – отношение совокупной суммы потерь/убытков Единого оператора к совокупной сумме гарантийных обязательств в процентном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наступления гарантийного случая (Probability of Default – PD) – совокупность обстоятельств (объективных и субъективных), влекущих неисполнение уполномоченной компанией/застройщиком своих обязательств по договору о предоставлении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гарантийных обязательств (Exposure at Default – EAD) – проектная стоимость многоквартирного жилого дома или комплекса индивидуальных жилых домов или проектов реновации ветхого и аварийного жилья, определенная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вычетом стоимости незавершенного строительства, подтвержденная отчетом независимой оценочной компании и актами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Единым оператором допускается уменьшение обязательств по гарантии соразмерно разнице между стоимостью незавершенного строительства на момент выдачи гарантии Единого оператора и суммой незавершенного строительства на последнюю отчетную дату, подтвержденной отчетом об оценке,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непредвиденные расходы (Unexpected Losses – UL) – отклонения от ожидаемого значения убытков, возникающих с определенной степенью вероятности наступления гарантийного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доля невосстанавливаемых ресурсов при завершении строительства многоквартирного жилого дома или комплекса индивидуальных жилых домов или проектов реновации ветхого и аварийного жилья (Loss Given Default – LGD) – доля совокупной суммы потерь, не восстановленная по итогам завершения строительства многоквартирного жилого дома или комплекса индивидуальных жилых домов или реализации проектов реновации ветхого и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совокупная сумма потерь/убытков (Covered Losses – CL) – сумма ожидаемых и непредвиденных расходов, возникающих в процессе завершения строительства многоквартирного жилого дома или комплекса индивидуальных жилых домов или проектов реновации ветхого и аварийного жилья при наступлении гарантийного случая.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и определения размера резерва на урегулирование гарантийных случаев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Моделирование размера резерва на урегулирование гарантийных случаев требует установления совокупной суммы потерь/убытков (являющейся суммой ожидаемых и непредвиденных потерь/убытков):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= EL + UL (1)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ожидаемые потери/убытки (EL) вычисляются по следующей формуле: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EL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iEADi * PDi * LGDi (2)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непредвиденных потерь/убытков (UL) приведен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расчета вышеуказанных параметров определяется целевой уровень резерва Единого оператора на урегулирование гарантийных случаев: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508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составляющих для расчета ожидаемых убытков: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вероятности дефолта уполномоченной компании/застройщика (PD).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вероятности дефолта застройщика используется присвоенный рейтинг застройщика. Определение рейтинга застройщика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при этом определение уровня риска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гарантийного взноса, утвержденной приказом Министра национальной экономики Республики Казахстан от 28 июля 2016 года № 338 (зарегистрированный в Реестре государственной регистрации нормативных правовых актов № 14190);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доли невосстанавливаемых ресурсов (LGD).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обеспечением исполнения обязательств перед Единого оператора будут являться залог доли участия застройщика в уполномоченной компании и залог земельного участка (прав на него), сумма фактического возмещения по обязательствам, обеспеченных залогом, может составлять 50-75% от суммы требований. Соответственно, доля невосстанавливаемых ресурсов на начальном этапе принимается на уровне 25%-50%.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доли невосстанавливаемых ресурсов должна пересматриваться по мере накопления статистических данных по восстановлению ресурсов.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непредвиденных потерь/убытков с помощью метода Монте-Карло в следующем порядке: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исходных данных: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- количество участников (уполномоченных компаний) в портфеле Единого оператора на отчетную дату;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pj - вероятность дефолта j-го участника;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- сумма гарантийных обязательств j-го участника за рассматриваемый горизонт времени;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Lkj – размер непредвиденной потери/убытка Единого оператора в случае дефолта j-го участника k-го испытания;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qj- доля невосстанавливаемой части суммы возмещения по каждому участнику.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каждого участника j генерируются равномерно распределенные от 0 до 1 случайные величины: Dkj, j=1…N, где k – число испытаний;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проверка выполнения условия наступления события дефолта каждого участника.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Рассчитываются размеры непредвиденных потерь/убытков Единого оператора по каждому участнику для данного испытания на основе функции распределения: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8796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(подпункты 2-4) повторяется k = 10 000 или более раз.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Сумма непредвиденных потерь/убытков Единого оператора для каждого участника определяется как среднее значение непредвиденных убытков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03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всех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Совокупная сумма непредвиденных потерь/убытков Единого оператора вычисляется как сумма всех непредвиденных потерь/убытков для всех участников в портфеле: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206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Определив ожидаемые и непредвиденные потери/убытки, Единый оператор рассчитывает свои совокупные суммы потерь/убытков, целевой уровень и размер резерва на урегулирование гарантийных случаев в соответствии с формулами (1) и (3) настоящей Методики.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промышленности и строительства РК от 10.02.2026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Единый оператор понес убытки при осуществлении расходов, связанных с исполнением обязательств Единого оператора по договорам о предоставлении гарантии, размер резерва на урегулирование гарантийных случаев снижается на сумму таких убытков.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8 в соответствии с приказом Министра промышленности и строительства РК от 10.02.2026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случаев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рейтинга застройщика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рейтинга застройщика рассчитывается количество баллов согласно многофакторной модели, основанной на оценке показателей и факторов риска, и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гарантийного взноса, утвержденной приказом Министра национальной экономики Республики Казахстан от 28 июля 2016 года № 338 (зарегистрированный в Реестре государственной регистрации нормативных правовых актов № 14190).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 баллов застройщику присваивается рейтинг и соответствующее значение PD.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застройщика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рейтинг заявителю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баллов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80 баллов &lt;90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70 баллов &lt;80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60 баллов &lt;70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"А" (исключительная кредитоспособность, отличное финансовое состояние) – застройщик обладает высокой возможностью выполнить проект в срок и высоким уровнем финансовой устойчивости;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"В" (хороший уровень кредитоспособности и финансовой устойчивости) – застройщик в целом финансово устойчив и обладает оптимальной возможностью выполнить проект в срок и хорошим уровнем финансовой устойчивости.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"С" (средний уровень кредитоспособности и финансовой устойчивости) – застройщик обладает удовлетворительной возможностью выполнить проект в срок. Отдельные финансовые показатели демонстрируют некоторое отклонение от среднеотраслевых значений, но в целом общее финансовое состояние и платежеспособность являются удовлетворительными.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"D" (уровень кредитоспособности и финансовой устойчивости ниже среднего) – возможность застройщика выполнить проект в срок оценивается как достаточная. Имеются признаки ухудшения финансового состояния (низкий уровень платежеспособности/ стабильное снижение рыночной доли) или имеются форс-мажорные обстоятельства, которые могут негативно повлиять на финансовое состояние. Не исключается вероятность того, что данная компания не достаточно устойчива к колебаниям рыночного спроса.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