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a362" w14:textId="ce5a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требования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Казахстан, и Правил ее составления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июля 2016 года № 389. Зарегистрирован в Министерстве юстиции Республики Казахстан 29 августа 2016 года № 14175. Утратил силу приказом Первого заместителя Премьер-Министра Республики Казахстан – Министра финансов Республики Казахстан от 18 февраля 2020 года №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Первого заместителя Премьер-Министра РК – Министра финансов РК от 18.02.2020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 января 2021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и пунктом 4 статьи 606-4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требования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формы требования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информационно-правовой системе "Әділет";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финансов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2021 года и подлежит официальному опубликованию.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финансов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Даленов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Председателя  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 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Г. Пирматов  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 2016 года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394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83"/>
              <w:gridCol w:w="12017"/>
            </w:tblGrid>
            <w:tr>
              <w:trPr>
                <w:trHeight w:val="30" w:hRule="atLeast"/>
              </w:trPr>
              <w:tc>
                <w:tcPr>
                  <w:tcW w:w="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1" w:id="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1</w:t>
                  </w:r>
                </w:p>
                <w:bookmarkEnd w:id="17"/>
              </w:tc>
            </w:tr>
            <w:tr>
              <w:trPr>
                <w:trHeight w:val="30" w:hRule="atLeast"/>
              </w:trPr>
              <w:tc>
                <w:tcPr>
                  <w:tcW w:w="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22 июля 2016 года № 389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9"/>
              <w:gridCol w:w="4571"/>
            </w:tblGrid>
            <w:tr>
              <w:trPr>
                <w:trHeight w:val="30" w:hRule="atLeast"/>
              </w:trPr>
              <w:tc>
                <w:tcPr>
                  <w:tcW w:w="77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241"/>
        <w:gridCol w:w="285"/>
        <w:gridCol w:w="241"/>
        <w:gridCol w:w="120"/>
        <w:gridCol w:w="2288"/>
        <w:gridCol w:w="4558"/>
        <w:gridCol w:w="4558"/>
        <w:gridCol w:w="1003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 (займа)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вознаграждения за отчетный период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погашение вознаграждения по ипотечным жилищным займам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Индивидуальный идентификационный номер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83"/>
              <w:gridCol w:w="12017"/>
            </w:tblGrid>
            <w:tr>
              <w:trPr>
                <w:trHeight w:val="30" w:hRule="atLeast"/>
              </w:trPr>
              <w:tc>
                <w:tcPr>
                  <w:tcW w:w="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"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</w:t>
                  </w:r>
                </w:p>
                <w:bookmarkEnd w:id="22"/>
              </w:tc>
            </w:tr>
            <w:tr>
              <w:trPr>
                <w:trHeight w:val="30" w:hRule="atLeast"/>
              </w:trPr>
              <w:tc>
                <w:tcPr>
                  <w:tcW w:w="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22 июля 2016 года № 389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формы требования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формы требования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 (далее – Правила), разработаны в соответствии с подпунктом 3) пункта 1 и пунктом 4 статьи 606-4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определяют порядок составления формы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государственных доходов о подтверждении расходов на погашение вознаграждения по ипотечным жилищным </w:t>
      </w:r>
      <w:r>
        <w:rPr>
          <w:rFonts w:ascii="Times New Roman"/>
          <w:b w:val="false"/>
          <w:i w:val="false"/>
          <w:color w:val="000000"/>
          <w:sz w:val="28"/>
        </w:rPr>
        <w:t>займам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полученным физическим лицом на приобретение жилья в Республике Казахстан (далее – Сведения).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банками или организациями, осуществляющими отдельные виды банковских операций: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состоящими на регистрационном учете в качестве электронного налогоплательщика – электронным способом через веб-приложение или посредством передачи по информационно-коммуникационной сети, обеспечивающей гарантированную доставку сообщений, и заверяются электронной цифровой 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состоящими на регистрационном учете в качестве электронного налогоплательщика – по почте заказным письмом с уведомлением.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Банки или организации, осуществляющие отдельные виды банковских операций, представляют Сведения в течение тридцати рабочих дней со дня получения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Казахстан, на основании согласия физического лица (владельца счета), указанного в декларации о доходах и имуществе физического лица по форме, утверждаемой в порядке, предусмотренном пунктом 2 статьи 63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формы требования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форме указываются Сведения, подтверждающие расходы на погашение вознаграждения по ипотечным жилищным займам, полученным физическим лицом на приобретение жилья в Республике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представляются отдельно в разрезе каждого займа.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включают в себя следующие данные: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индивидуальный идентификационный номер физического лица;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– фамилия, имя, отчество (если оно указано в </w:t>
      </w:r>
      <w:r>
        <w:rPr>
          <w:rFonts w:ascii="Times New Roman"/>
          <w:b w:val="false"/>
          <w:i w:val="false"/>
          <w:color w:val="000000"/>
          <w:sz w:val="28"/>
        </w:rPr>
        <w:t>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удостоверяющем личность) физического лица;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сумма основного долга (займа) на дату выдачи;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– сумма уплаченного вознаграждения за отчетный период, указанного в требовании органов государственных доходов;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наименование документа;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дата документа;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номер документа.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