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c7b7" w14:textId="d3cc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размещению, содержанию и техническим характеристикам абонентских почтовых ящиков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29 июля 2016 года № 68. Зарегистрирован в Министерстве юстиции Республики Казахстан 25 августа 2016 года № 14148. Утратил силу приказом Министра цифрового развития, инноваций и аэрокосмической промышленности Республики Казахстан от 28 мая 2024 года № 305/НҚ.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28.05.2024 </w:t>
      </w:r>
      <w:r>
        <w:rPr>
          <w:rFonts w:ascii="Times New Roman"/>
          <w:b w:val="false"/>
          <w:i w:val="false"/>
          <w:color w:val="ff0000"/>
          <w:sz w:val="28"/>
        </w:rPr>
        <w:t>№ 305/НҚ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почте",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размещению, содержанию и техническим характеристикам абонентских почтовых ящиков.</w:t>
      </w:r>
    </w:p>
    <w:bookmarkEnd w:id="1"/>
    <w:bookmarkStart w:name="z5" w:id="2"/>
    <w:p>
      <w:pPr>
        <w:spacing w:after="0"/>
        <w:ind w:left="0"/>
        <w:jc w:val="both"/>
      </w:pPr>
      <w:r>
        <w:rPr>
          <w:rFonts w:ascii="Times New Roman"/>
          <w:b w:val="false"/>
          <w:i w:val="false"/>
          <w:color w:val="000000"/>
          <w:sz w:val="28"/>
        </w:rPr>
        <w:t>
      2. Департаменту связи Министерства информации и коммуникаций Республики Казахстан (Ярошенко В.В.)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коммуникации Республики Казахстан и на интранет-портале государственных органов;</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Министр</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информации и коммуникаций</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Д. Абаев</w:t>
            </w:r>
          </w:p>
          <w:bookmarkEnd w:id="1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и коммуникаций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июля 2016 года № 68</w:t>
                  </w:r>
                </w:p>
              </w:tc>
            </w:tr>
          </w:tbl>
          <w:p/>
        </w:tc>
      </w:tr>
    </w:tbl>
    <w:bookmarkStart w:name="z48" w:id="12"/>
    <w:p>
      <w:pPr>
        <w:spacing w:after="0"/>
        <w:ind w:left="0"/>
        <w:jc w:val="left"/>
      </w:pPr>
      <w:r>
        <w:rPr>
          <w:rFonts w:ascii="Times New Roman"/>
          <w:b/>
          <w:i w:val="false"/>
          <w:color w:val="000000"/>
        </w:rPr>
        <w:t xml:space="preserve"> Требования по размещению, содержанию и техническим характеристикам абонентских почтовых ящиков</w:t>
      </w:r>
      <w:r>
        <w:br/>
      </w:r>
      <w:r>
        <w:rPr>
          <w:rFonts w:ascii="Times New Roman"/>
          <w:b/>
          <w:i w:val="false"/>
          <w:color w:val="000000"/>
        </w:rPr>
        <w:t>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Требования по размещению, содержанию и техническим характеристикам абонентских почтовых ящиков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апреля 2016 года "О почте" (далее – Закон), и устанавливают требования по размещению, содержанию абонентских почтовых ящиков и технические характеристики к ним. </w:t>
      </w:r>
    </w:p>
    <w:bookmarkEnd w:id="13"/>
    <w:bookmarkStart w:name="z19" w:id="14"/>
    <w:p>
      <w:pPr>
        <w:spacing w:after="0"/>
        <w:ind w:left="0"/>
        <w:jc w:val="both"/>
      </w:pPr>
      <w:r>
        <w:rPr>
          <w:rFonts w:ascii="Times New Roman"/>
          <w:b w:val="false"/>
          <w:i w:val="false"/>
          <w:color w:val="000000"/>
          <w:sz w:val="28"/>
        </w:rPr>
        <w:t>
      2. В настоящих Требованиях используются следующие основные понятия:</w:t>
      </w:r>
    </w:p>
    <w:bookmarkEnd w:id="14"/>
    <w:bookmarkStart w:name="z20" w:id="15"/>
    <w:p>
      <w:pPr>
        <w:spacing w:after="0"/>
        <w:ind w:left="0"/>
        <w:jc w:val="both"/>
      </w:pPr>
      <w:r>
        <w:rPr>
          <w:rFonts w:ascii="Times New Roman"/>
          <w:b w:val="false"/>
          <w:i w:val="false"/>
          <w:color w:val="000000"/>
          <w:sz w:val="28"/>
        </w:rPr>
        <w:t>
      1) абонентский почтовый ящик – специальный шкаф с ячейками, устанавливаемый в зданиях, жилых домах (жилых зданиях), индивидуальных жилых домах, для получения адресатами почтовых отправлений;</w:t>
      </w:r>
    </w:p>
    <w:bookmarkEnd w:id="15"/>
    <w:bookmarkStart w:name="z21" w:id="16"/>
    <w:p>
      <w:pPr>
        <w:spacing w:after="0"/>
        <w:ind w:left="0"/>
        <w:jc w:val="both"/>
      </w:pPr>
      <w:r>
        <w:rPr>
          <w:rFonts w:ascii="Times New Roman"/>
          <w:b w:val="false"/>
          <w:i w:val="false"/>
          <w:color w:val="000000"/>
          <w:sz w:val="28"/>
        </w:rPr>
        <w:t>
      2) пользователь услуг оператора почты (далее - пользователь)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p>
    <w:bookmarkEnd w:id="16"/>
    <w:bookmarkStart w:name="z22" w:id="17"/>
    <w:p>
      <w:pPr>
        <w:spacing w:after="0"/>
        <w:ind w:left="0"/>
        <w:jc w:val="both"/>
      </w:pPr>
      <w:r>
        <w:rPr>
          <w:rFonts w:ascii="Times New Roman"/>
          <w:b w:val="false"/>
          <w:i w:val="false"/>
          <w:color w:val="000000"/>
          <w:sz w:val="28"/>
        </w:rPr>
        <w:t>
      3) оператор почты – зарегистрированное на территории Республики Казахстан физическое или юридическое лицо, предоставляющее услуги в сфере почтовой деятельности;</w:t>
      </w:r>
    </w:p>
    <w:bookmarkEnd w:id="17"/>
    <w:bookmarkStart w:name="z23" w:id="18"/>
    <w:p>
      <w:pPr>
        <w:spacing w:after="0"/>
        <w:ind w:left="0"/>
        <w:jc w:val="both"/>
      </w:pPr>
      <w:r>
        <w:rPr>
          <w:rFonts w:ascii="Times New Roman"/>
          <w:b w:val="false"/>
          <w:i w:val="false"/>
          <w:color w:val="000000"/>
          <w:sz w:val="28"/>
        </w:rPr>
        <w:t>
      4) уполномоченный орган в области почты (далее – уполномоченный орган) – центральный исполнительный орган Республики Казахстан, осуществляющий в пределах своей компетенции реализацию государственной политики, государственный контроль, координацию и регулирование деятельности в области почты на территории Республики Казахстан;</w:t>
      </w:r>
    </w:p>
    <w:bookmarkEnd w:id="18"/>
    <w:bookmarkStart w:name="z24" w:id="19"/>
    <w:p>
      <w:pPr>
        <w:spacing w:after="0"/>
        <w:ind w:left="0"/>
        <w:jc w:val="both"/>
      </w:pPr>
      <w:r>
        <w:rPr>
          <w:rFonts w:ascii="Times New Roman"/>
          <w:b w:val="false"/>
          <w:i w:val="false"/>
          <w:color w:val="000000"/>
          <w:sz w:val="28"/>
        </w:rPr>
        <w:t>
      5) Национальный оператор почты – оператор почты</w:t>
      </w:r>
      <w:r>
        <w:rPr>
          <w:rFonts w:ascii="Times New Roman"/>
          <w:b w:val="false"/>
          <w:i/>
          <w:color w:val="000000"/>
          <w:sz w:val="28"/>
        </w:rPr>
        <w:t>,</w:t>
      </w:r>
      <w:r>
        <w:rPr>
          <w:rFonts w:ascii="Times New Roman"/>
          <w:b w:val="false"/>
          <w:i w:val="false"/>
          <w:color w:val="000000"/>
          <w:sz w:val="28"/>
        </w:rPr>
        <w:t xml:space="preserve"> определяемый уполномоченным органом в области почты</w:t>
      </w:r>
      <w:r>
        <w:rPr>
          <w:rFonts w:ascii="Times New Roman"/>
          <w:b w:val="false"/>
          <w:i/>
          <w:color w:val="000000"/>
          <w:sz w:val="28"/>
        </w:rPr>
        <w:t xml:space="preserve">, </w:t>
      </w:r>
      <w:r>
        <w:rPr>
          <w:rFonts w:ascii="Times New Roman"/>
          <w:b w:val="false"/>
          <w:i w:val="false"/>
          <w:color w:val="000000"/>
          <w:sz w:val="28"/>
        </w:rPr>
        <w:t>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Законом.</w:t>
      </w:r>
    </w:p>
    <w:bookmarkEnd w:id="19"/>
    <w:bookmarkStart w:name="z25" w:id="20"/>
    <w:p>
      <w:pPr>
        <w:spacing w:after="0"/>
        <w:ind w:left="0"/>
        <w:jc w:val="both"/>
      </w:pPr>
      <w:r>
        <w:rPr>
          <w:rFonts w:ascii="Times New Roman"/>
          <w:b w:val="false"/>
          <w:i w:val="false"/>
          <w:color w:val="000000"/>
          <w:sz w:val="28"/>
        </w:rPr>
        <w:t>
      3. Абонентские почтовые ящики находятся в жилых и нежилых зданиях, индивидуальных жилых домах в местах, доступных для пользователей услуг оператора почты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w:t>
      </w:r>
    </w:p>
    <w:bookmarkEnd w:id="20"/>
    <w:bookmarkStart w:name="z26" w:id="21"/>
    <w:p>
      <w:pPr>
        <w:spacing w:after="0"/>
        <w:ind w:left="0"/>
        <w:jc w:val="left"/>
      </w:pPr>
      <w:r>
        <w:rPr>
          <w:rFonts w:ascii="Times New Roman"/>
          <w:b/>
          <w:i w:val="false"/>
          <w:color w:val="000000"/>
        </w:rPr>
        <w:t xml:space="preserve"> Глава 2. Требования по размещению и содержанию абонентского почтового ящика</w:t>
      </w:r>
    </w:p>
    <w:bookmarkEnd w:id="21"/>
    <w:bookmarkStart w:name="z27" w:id="22"/>
    <w:p>
      <w:pPr>
        <w:spacing w:after="0"/>
        <w:ind w:left="0"/>
        <w:jc w:val="both"/>
      </w:pPr>
      <w:r>
        <w:rPr>
          <w:rFonts w:ascii="Times New Roman"/>
          <w:b w:val="false"/>
          <w:i w:val="false"/>
          <w:color w:val="000000"/>
          <w:sz w:val="28"/>
        </w:rPr>
        <w:t>
      4. Абонентские почтовые ящики размещаются в каждом подъезде на площадке первого этажа многоквартирного жилого здания, в одноэтажном и многоэтажном нежилом здании на первом этаже в местах, удобных для доступа собственников, пользователей услуг почтовой связи и почтальонов (курьеров) операторов почты.</w:t>
      </w:r>
    </w:p>
    <w:bookmarkEnd w:id="22"/>
    <w:bookmarkStart w:name="z28" w:id="23"/>
    <w:p>
      <w:pPr>
        <w:spacing w:after="0"/>
        <w:ind w:left="0"/>
        <w:jc w:val="both"/>
      </w:pPr>
      <w:r>
        <w:rPr>
          <w:rFonts w:ascii="Times New Roman"/>
          <w:b w:val="false"/>
          <w:i w:val="false"/>
          <w:color w:val="000000"/>
          <w:sz w:val="28"/>
        </w:rPr>
        <w:t xml:space="preserve">
      5. Собственники индивидуальных жилых домов размещают абонентские почтовые ящики на границе своего земельного участка при входе на его территорию, обеспечивая возможность почтальонам (курьерам) операторов почты доставить почтовые отправления не входя на территорию собственника. </w:t>
      </w:r>
    </w:p>
    <w:bookmarkEnd w:id="23"/>
    <w:bookmarkStart w:name="z29" w:id="24"/>
    <w:p>
      <w:pPr>
        <w:spacing w:after="0"/>
        <w:ind w:left="0"/>
        <w:jc w:val="both"/>
      </w:pPr>
      <w:r>
        <w:rPr>
          <w:rFonts w:ascii="Times New Roman"/>
          <w:b w:val="false"/>
          <w:i w:val="false"/>
          <w:color w:val="000000"/>
          <w:sz w:val="28"/>
        </w:rPr>
        <w:t>
      6. Собственники квартир, помещений в многоквартирных жилых зданиях, индивидуальных жилых домов, нежилых помещений жилых зданий и нежилых зданий обеспечивают почтальонам (курьерам) беспрепятственный доступ к абонентским почтовым ящикам.</w:t>
      </w:r>
    </w:p>
    <w:bookmarkEnd w:id="24"/>
    <w:bookmarkStart w:name="z30" w:id="25"/>
    <w:p>
      <w:pPr>
        <w:spacing w:after="0"/>
        <w:ind w:left="0"/>
        <w:jc w:val="both"/>
      </w:pPr>
      <w:r>
        <w:rPr>
          <w:rFonts w:ascii="Times New Roman"/>
          <w:b w:val="false"/>
          <w:i w:val="false"/>
          <w:color w:val="000000"/>
          <w:sz w:val="28"/>
        </w:rPr>
        <w:t>
      7. 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органу управления объекта кондоминиума по договору.</w:t>
      </w:r>
    </w:p>
    <w:bookmarkEnd w:id="25"/>
    <w:bookmarkStart w:name="z31" w:id="26"/>
    <w:p>
      <w:pPr>
        <w:spacing w:after="0"/>
        <w:ind w:left="0"/>
        <w:jc w:val="both"/>
      </w:pPr>
      <w:r>
        <w:rPr>
          <w:rFonts w:ascii="Times New Roman"/>
          <w:b w:val="false"/>
          <w:i w:val="false"/>
          <w:color w:val="000000"/>
          <w:sz w:val="28"/>
        </w:rPr>
        <w:t>
      8. Собственники, пользователи, субъекты кондоминиума содержат абонентские почтовые ящики в исправном состоянии и чистоте.</w:t>
      </w:r>
    </w:p>
    <w:bookmarkEnd w:id="26"/>
    <w:bookmarkStart w:name="z32" w:id="27"/>
    <w:p>
      <w:pPr>
        <w:spacing w:after="0"/>
        <w:ind w:left="0"/>
        <w:jc w:val="both"/>
      </w:pPr>
      <w:r>
        <w:rPr>
          <w:rFonts w:ascii="Times New Roman"/>
          <w:b w:val="false"/>
          <w:i w:val="false"/>
          <w:color w:val="000000"/>
          <w:sz w:val="28"/>
        </w:rPr>
        <w:t xml:space="preserve">
      В случае отсутствия или неисправности абонентского почтового ящика оператор почты не доставляет почтовые отправления на адрес получателя, а осуществляет выдачу почтового отправления из производственного объекта оператора почты, обслуживающего район проживания получателя. </w:t>
      </w:r>
    </w:p>
    <w:bookmarkEnd w:id="27"/>
    <w:bookmarkStart w:name="z33" w:id="28"/>
    <w:p>
      <w:pPr>
        <w:spacing w:after="0"/>
        <w:ind w:left="0"/>
        <w:jc w:val="both"/>
      </w:pPr>
      <w:r>
        <w:rPr>
          <w:rFonts w:ascii="Times New Roman"/>
          <w:b w:val="false"/>
          <w:i w:val="false"/>
          <w:color w:val="000000"/>
          <w:sz w:val="28"/>
        </w:rPr>
        <w:t>
      9. Пользователи услуг почтовой связи при получении почтового отправления через абонентский почтовый ящик используют ключ для его открытия и закрытия.</w:t>
      </w:r>
    </w:p>
    <w:bookmarkEnd w:id="28"/>
    <w:bookmarkStart w:name="z34" w:id="29"/>
    <w:p>
      <w:pPr>
        <w:spacing w:after="0"/>
        <w:ind w:left="0"/>
        <w:jc w:val="left"/>
      </w:pPr>
      <w:r>
        <w:rPr>
          <w:rFonts w:ascii="Times New Roman"/>
          <w:b/>
          <w:i w:val="false"/>
          <w:color w:val="000000"/>
        </w:rPr>
        <w:t xml:space="preserve"> Глава 3. Технические характеристики абонентских почтовых ящиков</w:t>
      </w:r>
    </w:p>
    <w:bookmarkEnd w:id="29"/>
    <w:bookmarkStart w:name="z35" w:id="30"/>
    <w:p>
      <w:pPr>
        <w:spacing w:after="0"/>
        <w:ind w:left="0"/>
        <w:jc w:val="both"/>
      </w:pPr>
      <w:r>
        <w:rPr>
          <w:rFonts w:ascii="Times New Roman"/>
          <w:b w:val="false"/>
          <w:i w:val="false"/>
          <w:color w:val="000000"/>
          <w:sz w:val="28"/>
        </w:rPr>
        <w:t>
      10. Абонентский почтовый ящик изготавливается из металлического листового проката толщиной 0,5–1,5 миллиметр. Отдельные элементы конструкции абонентского почтового ящика соединяются сваркой или клепкой и окрашиваются эмалевой краской. Абонентский почтовый ящик состоит из корпуса и задней глухой стенкой и открывающейся дверью с запирающимся устройством (замком) и петлями.</w:t>
      </w:r>
    </w:p>
    <w:bookmarkEnd w:id="30"/>
    <w:bookmarkStart w:name="z36" w:id="31"/>
    <w:p>
      <w:pPr>
        <w:spacing w:after="0"/>
        <w:ind w:left="0"/>
        <w:jc w:val="both"/>
      </w:pPr>
      <w:r>
        <w:rPr>
          <w:rFonts w:ascii="Times New Roman"/>
          <w:b w:val="false"/>
          <w:i w:val="false"/>
          <w:color w:val="000000"/>
          <w:sz w:val="28"/>
        </w:rPr>
        <w:t>
      11. Абонентские почтовые ящики подразделяются на следующие виды:</w:t>
      </w:r>
    </w:p>
    <w:bookmarkEnd w:id="31"/>
    <w:bookmarkStart w:name="z37" w:id="32"/>
    <w:p>
      <w:pPr>
        <w:spacing w:after="0"/>
        <w:ind w:left="0"/>
        <w:jc w:val="both"/>
      </w:pPr>
      <w:r>
        <w:rPr>
          <w:rFonts w:ascii="Times New Roman"/>
          <w:b w:val="false"/>
          <w:i w:val="false"/>
          <w:color w:val="000000"/>
          <w:sz w:val="28"/>
        </w:rPr>
        <w:t>
      1) по технологии исполнения:</w:t>
      </w:r>
    </w:p>
    <w:bookmarkEnd w:id="32"/>
    <w:bookmarkStart w:name="z38" w:id="33"/>
    <w:p>
      <w:pPr>
        <w:spacing w:after="0"/>
        <w:ind w:left="0"/>
        <w:jc w:val="both"/>
      </w:pPr>
      <w:r>
        <w:rPr>
          <w:rFonts w:ascii="Times New Roman"/>
          <w:b w:val="false"/>
          <w:i w:val="false"/>
          <w:color w:val="000000"/>
          <w:sz w:val="28"/>
        </w:rPr>
        <w:t>
      вертикальный – включает в себя несколько ячеек с дверцами, расположенными вертикально;</w:t>
      </w:r>
    </w:p>
    <w:bookmarkEnd w:id="33"/>
    <w:bookmarkStart w:name="z39" w:id="34"/>
    <w:p>
      <w:pPr>
        <w:spacing w:after="0"/>
        <w:ind w:left="0"/>
        <w:jc w:val="both"/>
      </w:pPr>
      <w:r>
        <w:rPr>
          <w:rFonts w:ascii="Times New Roman"/>
          <w:b w:val="false"/>
          <w:i w:val="false"/>
          <w:color w:val="000000"/>
          <w:sz w:val="28"/>
        </w:rPr>
        <w:t>
      горизонтальный – включает в себя несколько ячеек с дверцами, расположенными горизонтально;</w:t>
      </w:r>
    </w:p>
    <w:bookmarkEnd w:id="34"/>
    <w:bookmarkStart w:name="z40" w:id="35"/>
    <w:p>
      <w:pPr>
        <w:spacing w:after="0"/>
        <w:ind w:left="0"/>
        <w:jc w:val="both"/>
      </w:pPr>
      <w:r>
        <w:rPr>
          <w:rFonts w:ascii="Times New Roman"/>
          <w:b w:val="false"/>
          <w:i w:val="false"/>
          <w:color w:val="000000"/>
          <w:sz w:val="28"/>
        </w:rPr>
        <w:t>
      индивидуальный – состоит из одной ячейки с дверцей, которая может быть вертикальной или горизонтальной.</w:t>
      </w:r>
    </w:p>
    <w:bookmarkEnd w:id="35"/>
    <w:bookmarkStart w:name="z41" w:id="36"/>
    <w:p>
      <w:pPr>
        <w:spacing w:after="0"/>
        <w:ind w:left="0"/>
        <w:jc w:val="both"/>
      </w:pPr>
      <w:r>
        <w:rPr>
          <w:rFonts w:ascii="Times New Roman"/>
          <w:b w:val="false"/>
          <w:i w:val="false"/>
          <w:color w:val="000000"/>
          <w:sz w:val="28"/>
        </w:rPr>
        <w:t>
      2) по конструкции:</w:t>
      </w:r>
    </w:p>
    <w:bookmarkEnd w:id="36"/>
    <w:bookmarkStart w:name="z42" w:id="37"/>
    <w:p>
      <w:pPr>
        <w:spacing w:after="0"/>
        <w:ind w:left="0"/>
        <w:jc w:val="both"/>
      </w:pPr>
      <w:r>
        <w:rPr>
          <w:rFonts w:ascii="Times New Roman"/>
          <w:b w:val="false"/>
          <w:i w:val="false"/>
          <w:color w:val="000000"/>
          <w:sz w:val="28"/>
        </w:rPr>
        <w:t>
      щелевой — загрузка почтовых отправлений осуществляется через щели между ячейками;</w:t>
      </w:r>
    </w:p>
    <w:bookmarkEnd w:id="37"/>
    <w:bookmarkStart w:name="z43" w:id="38"/>
    <w:p>
      <w:pPr>
        <w:spacing w:after="0"/>
        <w:ind w:left="0"/>
        <w:jc w:val="both"/>
      </w:pPr>
      <w:r>
        <w:rPr>
          <w:rFonts w:ascii="Times New Roman"/>
          <w:b w:val="false"/>
          <w:i w:val="false"/>
          <w:color w:val="000000"/>
          <w:sz w:val="28"/>
        </w:rPr>
        <w:t>
      антивандальный — загрузка почтовых отправлений осуществляется при открытии всех ячеек почтальоном (курьером) оператора почты с помощью мастер-ключа.</w:t>
      </w:r>
    </w:p>
    <w:bookmarkEnd w:id="38"/>
    <w:bookmarkStart w:name="z44" w:id="39"/>
    <w:p>
      <w:pPr>
        <w:spacing w:after="0"/>
        <w:ind w:left="0"/>
        <w:jc w:val="both"/>
      </w:pPr>
      <w:r>
        <w:rPr>
          <w:rFonts w:ascii="Times New Roman"/>
          <w:b w:val="false"/>
          <w:i w:val="false"/>
          <w:color w:val="000000"/>
          <w:sz w:val="28"/>
        </w:rPr>
        <w:t xml:space="preserve">
      12. Объем и внутренние размеры ячеек абонентского почтового ящика должны обеспечивать свободное вмещение почтовых отправлений, подлежащих доставке через абонентский почтовый ящик и быть не ниже следующих размеров: </w:t>
      </w:r>
    </w:p>
    <w:bookmarkEnd w:id="39"/>
    <w:bookmarkStart w:name="z45" w:id="40"/>
    <w:p>
      <w:pPr>
        <w:spacing w:after="0"/>
        <w:ind w:left="0"/>
        <w:jc w:val="both"/>
      </w:pPr>
      <w:r>
        <w:rPr>
          <w:rFonts w:ascii="Times New Roman"/>
          <w:b w:val="false"/>
          <w:i w:val="false"/>
          <w:color w:val="000000"/>
          <w:sz w:val="28"/>
        </w:rPr>
        <w:t>
      Длина – 400 милиметр;</w:t>
      </w:r>
    </w:p>
    <w:bookmarkEnd w:id="40"/>
    <w:bookmarkStart w:name="z46" w:id="41"/>
    <w:p>
      <w:pPr>
        <w:spacing w:after="0"/>
        <w:ind w:left="0"/>
        <w:jc w:val="both"/>
      </w:pPr>
      <w:r>
        <w:rPr>
          <w:rFonts w:ascii="Times New Roman"/>
          <w:b w:val="false"/>
          <w:i w:val="false"/>
          <w:color w:val="000000"/>
          <w:sz w:val="28"/>
        </w:rPr>
        <w:t>
      Ширина – 250 милиметр;</w:t>
      </w:r>
    </w:p>
    <w:bookmarkEnd w:id="41"/>
    <w:bookmarkStart w:name="z47" w:id="42"/>
    <w:p>
      <w:pPr>
        <w:spacing w:after="0"/>
        <w:ind w:left="0"/>
        <w:jc w:val="both"/>
      </w:pPr>
      <w:r>
        <w:rPr>
          <w:rFonts w:ascii="Times New Roman"/>
          <w:b w:val="false"/>
          <w:i w:val="false"/>
          <w:color w:val="000000"/>
          <w:sz w:val="28"/>
        </w:rPr>
        <w:t>
      Высота – 120 милиметр.</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