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cc72" w14:textId="710c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Показателей качества универсальных услуг почтовой связи</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20 июля 2016 года № 44. Зарегистрирован в Министерстве юстиции Республики Казахстан 23 августа 2016 года № 14130.</w:t>
      </w:r>
    </w:p>
    <w:p>
      <w:pPr>
        <w:spacing w:after="0"/>
        <w:ind w:left="0"/>
        <w:jc w:val="both"/>
      </w:pPr>
      <w:bookmarkStart w:name="z1" w:id="0"/>
      <w:r>
        <w:rPr>
          <w:rFonts w:ascii="Times New Roman"/>
          <w:b w:val="false"/>
          <w:i w:val="false"/>
          <w:color w:val="000000"/>
          <w:sz w:val="28"/>
        </w:rPr>
        <w:t xml:space="preserve">
      В соответствии с подпунктом 21) пункта 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почте" и </w:t>
      </w:r>
      <w:r>
        <w:rPr>
          <w:rFonts w:ascii="Times New Roman"/>
          <w:b w:val="false"/>
          <w:i w:val="false"/>
          <w:color w:val="000000"/>
          <w:sz w:val="28"/>
        </w:rPr>
        <w:t>подпунктом 87)</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 24 "О мерах по дальнейшему совершенствованию системы государственного управления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28.05.2025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Показатели</w:t>
      </w:r>
      <w:r>
        <w:rPr>
          <w:rFonts w:ascii="Times New Roman"/>
          <w:b w:val="false"/>
          <w:i w:val="false"/>
          <w:color w:val="000000"/>
          <w:sz w:val="28"/>
        </w:rPr>
        <w:t xml:space="preserve"> качества универсальных услуг почтовой связи.</w:t>
      </w:r>
    </w:p>
    <w:bookmarkEnd w:id="1"/>
    <w:bookmarkStart w:name="z3" w:id="2"/>
    <w:p>
      <w:pPr>
        <w:spacing w:after="0"/>
        <w:ind w:left="0"/>
        <w:jc w:val="both"/>
      </w:pPr>
      <w:r>
        <w:rPr>
          <w:rFonts w:ascii="Times New Roman"/>
          <w:b w:val="false"/>
          <w:i w:val="false"/>
          <w:color w:val="000000"/>
          <w:sz w:val="28"/>
        </w:rPr>
        <w:t>
      2. Департаменту связи Министерства информации и коммуникаций Республики Казахстан (Ярошенко В.В)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и коммуникаций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июля 2016 года № 44</w:t>
            </w:r>
          </w:p>
        </w:tc>
      </w:tr>
    </w:tbl>
    <w:bookmarkStart w:name="z7" w:id="5"/>
    <w:p>
      <w:pPr>
        <w:spacing w:after="0"/>
        <w:ind w:left="0"/>
        <w:jc w:val="left"/>
      </w:pPr>
      <w:r>
        <w:rPr>
          <w:rFonts w:ascii="Times New Roman"/>
          <w:b/>
          <w:i w:val="false"/>
          <w:color w:val="000000"/>
        </w:rPr>
        <w:t xml:space="preserve"> Показатели качества универсальных услуг почтовой связи</w:t>
      </w:r>
    </w:p>
    <w:bookmarkEnd w:id="5"/>
    <w:p>
      <w:pPr>
        <w:spacing w:after="0"/>
        <w:ind w:left="0"/>
        <w:jc w:val="both"/>
      </w:pPr>
      <w:r>
        <w:rPr>
          <w:rFonts w:ascii="Times New Roman"/>
          <w:b w:val="false"/>
          <w:i w:val="false"/>
          <w:color w:val="ff0000"/>
          <w:sz w:val="28"/>
        </w:rPr>
        <w:t xml:space="preserve">
      Сноска. Заголовок - в редакции приказа Министра цифрового развития, инноваций и аэрокосмической промышленности РК от 20.12.2020 </w:t>
      </w:r>
      <w:r>
        <w:rPr>
          <w:rFonts w:ascii="Times New Roman"/>
          <w:b w:val="false"/>
          <w:i w:val="false"/>
          <w:color w:val="ff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1. Показатели доступности универсальных услуг почтовой связи:</w:t>
      </w:r>
    </w:p>
    <w:bookmarkEnd w:id="6"/>
    <w:bookmarkStart w:name="z18" w:id="7"/>
    <w:p>
      <w:pPr>
        <w:spacing w:after="0"/>
        <w:ind w:left="0"/>
        <w:jc w:val="both"/>
      </w:pPr>
      <w:r>
        <w:rPr>
          <w:rFonts w:ascii="Times New Roman"/>
          <w:b w:val="false"/>
          <w:i w:val="false"/>
          <w:color w:val="000000"/>
          <w:sz w:val="28"/>
        </w:rPr>
        <w:t>
      1) развитие почтовой сети, обеспечивающей предоставление пользователям услуг оператора почты универсальных услуг почтовой связи: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жителей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отделений почтовой связи (стационарных)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тысяч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в пределах сельского округа, включающего в себя несколько сельских населенных пунктов, с общей численностью населения не менее 2000 (две тысячи) человек во всех сельских населенных пунктах сельского округа одно отделение почтовой связи (стационарное).</w:t>
      </w:r>
    </w:p>
    <w:bookmarkStart w:name="z19" w:id="8"/>
    <w:p>
      <w:pPr>
        <w:spacing w:after="0"/>
        <w:ind w:left="0"/>
        <w:jc w:val="both"/>
      </w:pPr>
      <w:r>
        <w:rPr>
          <w:rFonts w:ascii="Times New Roman"/>
          <w:b w:val="false"/>
          <w:i w:val="false"/>
          <w:color w:val="000000"/>
          <w:sz w:val="28"/>
        </w:rPr>
        <w:t>
      2) показатели режима работы отделений почтовой связи (стационарных):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режим работы отделений почтовой связи (стационарных)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дней в неделю; режим работы: с 09:00 до 18:00 часов,</w:t>
            </w:r>
          </w:p>
          <w:p>
            <w:pPr>
              <w:spacing w:after="20"/>
              <w:ind w:left="20"/>
              <w:jc w:val="both"/>
            </w:pPr>
            <w:r>
              <w:rPr>
                <w:rFonts w:ascii="Times New Roman"/>
                <w:b w:val="false"/>
                <w:i w:val="false"/>
                <w:color w:val="000000"/>
                <w:sz w:val="20"/>
              </w:rPr>
              <w:t>
суббота - режим работы с 10:00 до 14:00, воскресенье – выходной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дней в неделю; режим работы: с 09:00 до 17:00 часов, с перерывом на обед, в зависимости от объҰма оказываемых услуг; выходные дни - суббота, воскресенье.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населенные пункты районного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дней в неделю; режим работы: с 09:00 до 17:00 часов, с перерывом на обед, в зависимости от объҰма оказываемых услуг; выходные дни - суббота, воскресенье.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дней в неделю; режим работы: не менее 2 часов в день в зависимости от объема услуг с перерывом на обед.</w:t>
            </w:r>
          </w:p>
        </w:tc>
      </w:tr>
    </w:tbl>
    <w:p>
      <w:pPr>
        <w:spacing w:after="0"/>
        <w:ind w:left="0"/>
        <w:jc w:val="both"/>
      </w:pPr>
      <w:r>
        <w:rPr>
          <w:rFonts w:ascii="Times New Roman"/>
          <w:b w:val="false"/>
          <w:i w:val="false"/>
          <w:color w:val="000000"/>
          <w:sz w:val="28"/>
        </w:rPr>
        <w:t>
      * режим работы по обслуживанию пользователей услуг оператора почты передвижными отделениями почтовой связи устанавливается при разработке графика движения по маршруту исходя из объема услуг, но не менее 0,5 часа на населенный пункт, с учетом выходных дней суббота и воскресенье.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4) минимальный показатель частоты доставки нерегистрируемых почтовых отправлений и периодических печатных изданий: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количество </w:t>
            </w:r>
          </w:p>
          <w:p>
            <w:pPr>
              <w:spacing w:after="20"/>
              <w:ind w:left="20"/>
              <w:jc w:val="both"/>
            </w:pPr>
            <w:r>
              <w:rPr>
                <w:rFonts w:ascii="Times New Roman"/>
                <w:b w:val="false"/>
                <w:i w:val="false"/>
                <w:color w:val="000000"/>
                <w:sz w:val="20"/>
              </w:rPr>
              <w:t xml:space="preserve">
доставок нерегистрируемых </w:t>
            </w:r>
          </w:p>
          <w:p>
            <w:pPr>
              <w:spacing w:after="20"/>
              <w:ind w:left="20"/>
              <w:jc w:val="both"/>
            </w:pPr>
            <w:r>
              <w:rPr>
                <w:rFonts w:ascii="Times New Roman"/>
                <w:b w:val="false"/>
                <w:i w:val="false"/>
                <w:color w:val="000000"/>
                <w:sz w:val="20"/>
              </w:rPr>
              <w:t xml:space="preserve">
почтовых отправлений и </w:t>
            </w:r>
          </w:p>
          <w:p>
            <w:pPr>
              <w:spacing w:after="20"/>
              <w:ind w:left="20"/>
              <w:jc w:val="both"/>
            </w:pPr>
            <w:r>
              <w:rPr>
                <w:rFonts w:ascii="Times New Roman"/>
                <w:b w:val="false"/>
                <w:i w:val="false"/>
                <w:color w:val="000000"/>
                <w:sz w:val="20"/>
              </w:rPr>
              <w:t>
периодических печатных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республиканского значения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дней;</w:t>
            </w:r>
          </w:p>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областного значения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дней;</w:t>
            </w:r>
          </w:p>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и населенные пункты районного</w:t>
            </w:r>
          </w:p>
          <w:p>
            <w:pPr>
              <w:spacing w:after="20"/>
              <w:ind w:left="20"/>
              <w:jc w:val="both"/>
            </w:pPr>
            <w:r>
              <w:rPr>
                <w:rFonts w:ascii="Times New Roman"/>
                <w:b w:val="false"/>
                <w:i w:val="false"/>
                <w:color w:val="000000"/>
                <w:sz w:val="20"/>
              </w:rPr>
              <w:t>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дней в неделю;</w:t>
            </w:r>
          </w:p>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населенные пункты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дней в неделю;</w:t>
            </w:r>
          </w:p>
          <w:p>
            <w:pPr>
              <w:spacing w:after="20"/>
              <w:ind w:left="20"/>
              <w:jc w:val="both"/>
            </w:pPr>
            <w:r>
              <w:rPr>
                <w:rFonts w:ascii="Times New Roman"/>
                <w:b w:val="false"/>
                <w:i w:val="false"/>
                <w:color w:val="000000"/>
                <w:sz w:val="20"/>
              </w:rPr>
              <w:t>
не менее 1 раза в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 почтовые маршруты и расписания движения транспортных средств операторов почтовой связи должны обеспечивать полный охват и своевременное оказание универсальных услуг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25.11.2022 </w:t>
      </w:r>
      <w:r>
        <w:rPr>
          <w:rFonts w:ascii="Times New Roman"/>
          <w:b w:val="false"/>
          <w:i w:val="false"/>
          <w:color w:val="000000"/>
          <w:sz w:val="28"/>
        </w:rPr>
        <w:t>№ 458/НҚ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28.05.2025 </w:t>
      </w:r>
      <w:r>
        <w:rPr>
          <w:rFonts w:ascii="Times New Roman"/>
          <w:b w:val="false"/>
          <w:i w:val="false"/>
          <w:color w:val="000000"/>
          <w:sz w:val="28"/>
        </w:rPr>
        <w:t>№ 263/НҚ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Показатели качества универсальных услуг почтовой связи:</w:t>
      </w:r>
    </w:p>
    <w:bookmarkEnd w:id="10"/>
    <w:bookmarkStart w:name="z15" w:id="11"/>
    <w:p>
      <w:pPr>
        <w:spacing w:after="0"/>
        <w:ind w:left="0"/>
        <w:jc w:val="both"/>
      </w:pPr>
      <w:r>
        <w:rPr>
          <w:rFonts w:ascii="Times New Roman"/>
          <w:b w:val="false"/>
          <w:i w:val="false"/>
          <w:color w:val="000000"/>
          <w:sz w:val="28"/>
        </w:rPr>
        <w:t>
      1) Минимальные показатели частоты перевозки нерегистрируемых почтовых отправлений и периодических печатных изданий</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маршруты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частота перевозки</w:t>
            </w:r>
          </w:p>
          <w:p>
            <w:pPr>
              <w:spacing w:after="20"/>
              <w:ind w:left="20"/>
              <w:jc w:val="both"/>
            </w:pPr>
            <w:r>
              <w:rPr>
                <w:rFonts w:ascii="Times New Roman"/>
                <w:b w:val="false"/>
                <w:i w:val="false"/>
                <w:color w:val="000000"/>
                <w:sz w:val="20"/>
              </w:rPr>
              <w:t>
нерегистрируемых почтовых</w:t>
            </w:r>
          </w:p>
          <w:p>
            <w:pPr>
              <w:spacing w:after="20"/>
              <w:ind w:left="20"/>
              <w:jc w:val="both"/>
            </w:pPr>
            <w:r>
              <w:rPr>
                <w:rFonts w:ascii="Times New Roman"/>
                <w:b w:val="false"/>
                <w:i w:val="false"/>
                <w:color w:val="000000"/>
                <w:sz w:val="20"/>
              </w:rPr>
              <w:t>
отправлений и периодических</w:t>
            </w:r>
          </w:p>
          <w:p>
            <w:pPr>
              <w:spacing w:after="20"/>
              <w:ind w:left="20"/>
              <w:jc w:val="both"/>
            </w:pPr>
            <w:r>
              <w:rPr>
                <w:rFonts w:ascii="Times New Roman"/>
                <w:b w:val="false"/>
                <w:i w:val="false"/>
                <w:color w:val="000000"/>
                <w:sz w:val="20"/>
              </w:rPr>
              <w:t>
печатных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магистральным маршрутам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внутриобластным маршрутам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раза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внутрирайонным маршрутам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раза в неделю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внутригородским маршрутам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раза в неделю</w:t>
            </w:r>
          </w:p>
        </w:tc>
      </w:tr>
    </w:tbl>
    <w:p>
      <w:pPr>
        <w:spacing w:after="0"/>
        <w:ind w:left="0"/>
        <w:jc w:val="left"/>
      </w:pP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показатели максимального сроки пересылки нерегистрируемых почтовых отправлений и периодических печатных изданий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срок</w:t>
            </w:r>
          </w:p>
          <w:p>
            <w:pPr>
              <w:spacing w:after="20"/>
              <w:ind w:left="20"/>
              <w:jc w:val="both"/>
            </w:pPr>
            <w:r>
              <w:rPr>
                <w:rFonts w:ascii="Times New Roman"/>
                <w:b w:val="false"/>
                <w:i w:val="false"/>
                <w:color w:val="000000"/>
                <w:sz w:val="20"/>
              </w:rPr>
              <w:t>
пересылки нерегистрируемых</w:t>
            </w:r>
          </w:p>
          <w:p>
            <w:pPr>
              <w:spacing w:after="20"/>
              <w:ind w:left="20"/>
              <w:jc w:val="both"/>
            </w:pPr>
            <w:r>
              <w:rPr>
                <w:rFonts w:ascii="Times New Roman"/>
                <w:b w:val="false"/>
                <w:i w:val="false"/>
                <w:color w:val="000000"/>
                <w:sz w:val="20"/>
              </w:rPr>
              <w:t>
почтовых отправлений и</w:t>
            </w:r>
          </w:p>
          <w:p>
            <w:pPr>
              <w:spacing w:after="20"/>
              <w:ind w:left="20"/>
              <w:jc w:val="both"/>
            </w:pPr>
            <w:r>
              <w:rPr>
                <w:rFonts w:ascii="Times New Roman"/>
                <w:b w:val="false"/>
                <w:i w:val="false"/>
                <w:color w:val="000000"/>
                <w:sz w:val="20"/>
              </w:rPr>
              <w:t>
периодических печатных</w:t>
            </w:r>
          </w:p>
          <w:p>
            <w:pPr>
              <w:spacing w:after="20"/>
              <w:ind w:left="20"/>
              <w:jc w:val="both"/>
            </w:pPr>
            <w:r>
              <w:rPr>
                <w:rFonts w:ascii="Times New Roman"/>
                <w:b w:val="false"/>
                <w:i w:val="false"/>
                <w:color w:val="000000"/>
                <w:sz w:val="20"/>
              </w:rPr>
              <w:t>
изданий с момента приема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городами республиканского и областного значения (ежедневные, прямые железнодорожные и автомобильные маршруты)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городами республиканского и областного значения (прямые железнодорожные и автомобильные маршруты с частотой перевозки 3 и более дней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городами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областным центром и районным центром данной области, и между городами районного значения, районными центрами области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почтовых отправлений (повсеместно)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дня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Показатели качества универсальных услуг почтовой связи устанавливаются в целях недопущения возникновения претензий со стороны пользователей услуг оператора почты к оператору почты, оказывающему универсальные услуги почтовой связи.</w:t>
      </w:r>
    </w:p>
    <w:bookmarkStart w:name="z17" w:id="13"/>
    <w:p>
      <w:pPr>
        <w:spacing w:after="0"/>
        <w:ind w:left="0"/>
        <w:jc w:val="both"/>
      </w:pPr>
      <w:r>
        <w:rPr>
          <w:rFonts w:ascii="Times New Roman"/>
          <w:b w:val="false"/>
          <w:i w:val="false"/>
          <w:color w:val="000000"/>
          <w:sz w:val="28"/>
        </w:rPr>
        <w:t>
      3. Показатель цены на универсальные услуги почтовой связи.</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Предельный уровень</w:t>
      </w:r>
      <w:r>
        <w:rPr>
          <w:rFonts w:ascii="Times New Roman"/>
          <w:b w:val="false"/>
          <w:i w:val="false"/>
          <w:color w:val="000000"/>
          <w:sz w:val="28"/>
        </w:rPr>
        <w:t xml:space="preserve"> цен на субсидируемые универсальные услуги связи, оказываемые в сельских населенных пунктах, закрепленные в секторе почтовой связи утвержден приказом Председателя Комитета государственного контроля в области связи, информатизации и средств массовой информации Министерства информации и коммуникации Республики Казахстан от 22 июня 2017 года № 29 (зарегистрирован в Реестре государственной регистрации нормативных правовых актов под № 15328).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20.12.2020 </w:t>
      </w:r>
      <w:r>
        <w:rPr>
          <w:rFonts w:ascii="Times New Roman"/>
          <w:b w:val="false"/>
          <w:i w:val="false"/>
          <w:color w:val="000000"/>
          <w:sz w:val="28"/>
        </w:rPr>
        <w:t>№ 470/НҚ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