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e5fe9" w14:textId="18e5f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критериев отнесения отходов потребления ко вторичному сырью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энергетики Республики Казахстан от 19 июля 2016 года № 332. Зарегистрирован в Министерстве юстиции Республики Казахстан 18 августа 2016 года № 14120. Утратил силу приказом Министра экологии и природных ресурсов РК от 26.08.2024 № 192.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экологии и природных ресурсов РК от 26.08.2024 </w:t>
      </w:r>
      <w:r>
        <w:rPr>
          <w:rFonts w:ascii="Times New Roman"/>
          <w:b w:val="false"/>
          <w:i w:val="false"/>
          <w:color w:val="ff0000"/>
          <w:sz w:val="28"/>
        </w:rPr>
        <w:t>№ 192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297-1 Экологического кодекса Республики Казахстан от 9 января 2007 года,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Критерии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отнесения отходов потребления ко вторичному сырью.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управления отходами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на официальное опубликование в периодические печатные издания и информационно-правовую систему "Әділет" в течение десяти календарных дней после его государственной регистрации в Министерстве юстиции Республики Казахстан, а также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Казахстан" в течение пяти рабочих дней со дня получения зарегистрированного приказа;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энергетики Республики Казахстан и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2) и 3) настоящего пункта.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И.о. Министра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Магауов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И.о.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июля 2016 года № 332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отнесения отходов потребления ко вторичному сырью</w:t>
      </w:r>
      <w:r>
        <w:br/>
      </w:r>
      <w:r>
        <w:rPr>
          <w:rFonts w:ascii="Times New Roman"/>
          <w:b/>
          <w:i w:val="false"/>
          <w:color w:val="000000"/>
        </w:rPr>
        <w:t>Глава 1. Общие положения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Критерии отнесения отходов потребления ко вторичному сырью (далее – Критерии)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297-1 Экологического кодекса Республики Казахстан от 9 января 2007 года (далее – Кодекс).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Отходы потребления приобретают статус вторичного сырья, будучи подвергнуты операциям, в результате которых отходы будут служить цели частичного или полного замещения сырья и (или) других материалов в процессе производства продукции,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297-1 Кодекса.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Термины и определения, используемые в настоящих Критериях, применяются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8"/>
    <w:bookmarkStart w:name="z12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Критерии отнесения отходов потребления</w:t>
      </w:r>
      <w:r>
        <w:br/>
      </w:r>
      <w:r>
        <w:rPr>
          <w:rFonts w:ascii="Times New Roman"/>
          <w:b/>
          <w:i w:val="false"/>
          <w:color w:val="000000"/>
        </w:rPr>
        <w:t>ко вторичному сырью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Критериями являются: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отходы потребления, пригодные к дальнейшему применению в качестве вторичного сырья*;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отходы потребления, которые используются в качестве сырья для дальнейшей переработки;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отходы потребления, не содержащие материалы (примеси), превышающие 2% по весу.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Материалами (примесями) являются: пыль, грунт, изоляция, химические или биоразлагаемые вещества, бетон и трубы (заполненные бетоном, деревянными фрагментами или грунтом), остатки, возникающие в результате сталеплавильных процессов, процессов термической обработки стали, процессов обработки поверхности (в том числе зачистки, шлифовки, распиловки, сварки и огневой резки), такие как шлак, окалина, пыль из систем пылеулавливания, шлифовальная пыль, шлам;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отходы потребления, не содержащие масла, масляных эмульсий, смазочных масел и жиров, за исключением незначительных количеств, которые не сопровождаются каплеобразованием;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отходы потребления, не содержащие вещества,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287 Кодекса.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отходы потребления, не содержащие поливинилхлорид в виде покрытий, красок.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Отходы потребления, которые пригодные к дальнейшему применению в качестве вторичного сырья, так например макулатура (бумага, картон), пластик, стеклотара (стеклобой), древесина и резина (каучук).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