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95ba" w14:textId="4ef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января 2015 года № 13 "Об утверждении Правил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 на усыновление"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июня 2016 года № 415. Зарегистрирован в Министерстве юстиции Республики Казахстан 5 августа 2016 года № 14078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13 «Об утверждении Правил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 на усыновление» (зарегистрированный в Реестре государственной регистрации нормативных правовых актов Республики Казахстан под № 10288, опубликованный в Информационно-правовой системе нормативных правовых актов Республики Казахстан «Әділет» 3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состав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Основными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заслушивание органов, осуществляющих функции по опеке и попечительству (далее – орган) в соответствии с Постановлением о предпринятых мерах по устройству детей в семьи на усыновление, под опеку или попечительство, на патронатное воспитание либо в приемную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заключения о возможности (невозможности) выдачи разрешения о передаче детей-сирот и детей, оставшихся без попечения родителей, (далее – дети) на усыновление.»;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Комиссия создается при местных исполнительных органах района, города областного,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комиссию входят руководитель управления образования области, отдела образования района, города областного, республиканского значения, столицы (председатель комиссии), специалист, осуществляющий функции по опеке и попечительству (секретарь комиссии), представители местных исполнительных органов, органов внутренних дел и неправительственных организаций, занимающихся вопросами защиты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принимают участие в заседаниях комиссии без права замены.»;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Документы (копия свидетельства о рождении ребенка, документы, подтверждающие социальный статус ребенка, заявлениеребенка, достигшего возраста десяти лет о согласии на усыновление), подлежащие рассмотрению на комиссии, готовятся органом района, города областного, республиканского значения, столицы и рассматриваются в течение десяти рабочих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и качественного рассмотрения материалов, поступивших на рассмотрение комиссии, они предварительно изучаются в течение семи рабочих дней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предварительного изучения поступивших на рассмотрение материалов комиссия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подлежащих вызову или приглашению на заседание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«Принятое решение комиссии оформляется в форме заключения о возможности (невозможности) выдачи разрешения о передаче детей, являющихся гражданами Республики Казахстан, на усыновление согласно приложению к настоящим Правилам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в течение трех рабочих дней направляется в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(Абдыкарим М.С.)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информационно-правовую систему «Әділет» и периодические печатные издания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