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5961" w14:textId="19e5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мая 2016 года № 143. Зарегистрировано в Министерстве юстиции Республики Казахстан 19 июля 2016 года № 13947</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Примечание РЦПИ!</w:t>
      </w:r>
      <w:r>
        <w:br/>
      </w: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30.08.2016</w:t>
      </w:r>
    </w:p>
    <w:bookmarkEnd w:id="0"/>
    <w:bookmarkStart w:name="z2" w:id="1"/>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регулирующих деятельность банков второго уровня, 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(зарегистрированное в Реестре государственной регистрации нормативных правовых актов под № 11162, опубликованное 2 июня 2015 года в информационно-правовой системе нормативных правовых актов Республики Казахстан «Әділет»)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w:t>
      </w:r>
      <w:r>
        <w:br/>
      </w:r>
      <w:r>
        <w:rPr>
          <w:rFonts w:ascii="Times New Roman"/>
          <w:b w:val="false"/>
          <w:i w:val="false"/>
          <w:color w:val="000000"/>
          <w:sz w:val="28"/>
        </w:rPr>
        <w:t>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4)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5)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6)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7)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8)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9) форму отчета о расшифровке максимального размера риска на одного заемщика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10)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11)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12)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13)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14)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15)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16) форму отчета о расшифровке коэффициентов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17)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18)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19)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20)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приложению 20 к настоящему постановлению;</w:t>
      </w:r>
      <w:r>
        <w:br/>
      </w:r>
      <w:r>
        <w:rPr>
          <w:rFonts w:ascii="Times New Roman"/>
          <w:b w:val="false"/>
          <w:i w:val="false"/>
          <w:color w:val="000000"/>
          <w:sz w:val="28"/>
        </w:rPr>
        <w:t>
      20-1)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21) Правила представления отчетности о выполнении пруденциальных нормативов банками второго уровня согласно приложению 21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Банки второго уровня, за исключением случая, предусмотренного пунктом 3 настоящего постановления, представляют в Национальный Банк Республики Казахстан в электронном формате:</w:t>
      </w:r>
      <w:r>
        <w:br/>
      </w:r>
      <w:r>
        <w:rPr>
          <w:rFonts w:ascii="Times New Roman"/>
          <w:b w:val="false"/>
          <w:i w:val="false"/>
          <w:color w:val="000000"/>
          <w:sz w:val="28"/>
        </w:rPr>
        <w:t>
      1) ежемесячно отчетность, предусмотренную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 xml:space="preserve">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настоящего постановления, - не позднее седьмого рабочего дня месяца, следующего за отчетным месяцем;</w:t>
      </w:r>
      <w:r>
        <w:br/>
      </w:r>
      <w:r>
        <w:rPr>
          <w:rFonts w:ascii="Times New Roman"/>
          <w:b w:val="false"/>
          <w:i w:val="false"/>
          <w:color w:val="000000"/>
          <w:sz w:val="28"/>
        </w:rPr>
        <w:t>
      2) ежемесячно отчетность, предусмотренную подпунктом 20-1) пункта 1 настоящего постановления, - не позднее двадцатого числа месяца, следующего за отчетным месяцем;</w:t>
      </w:r>
      <w:r>
        <w:br/>
      </w:r>
      <w:r>
        <w:rPr>
          <w:rFonts w:ascii="Times New Roman"/>
          <w:b w:val="false"/>
          <w:i w:val="false"/>
          <w:color w:val="000000"/>
          <w:sz w:val="28"/>
        </w:rPr>
        <w:t>
      3) еженедельно отчетность, предусмотренную подпунктом 14) пункта 1 настоящего постановления, - не позднее пятого рабочего дня недели, следующей за отчетной неделей.»;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20-1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r>
        <w:br/>
      </w: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r>
        <w:br/>
      </w: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 30 августа 2016 года.</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Д. Акишев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_________________Н. Айдапкелов</w:t>
      </w:r>
      <w:r>
        <w:br/>
      </w:r>
      <w:r>
        <w:rPr>
          <w:rFonts w:ascii="Times New Roman"/>
          <w:b w:val="false"/>
          <w:i w:val="false"/>
          <w:color w:val="000000"/>
          <w:sz w:val="28"/>
        </w:rPr>
        <w:t>
      13 июня 2016 года</w:t>
      </w:r>
    </w:p>
    <w:bookmarkStart w:name="z1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мая 2016 года № 143</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2015 года № 75 </w:t>
      </w:r>
    </w:p>
    <w:bookmarkStart w:name="z14" w:id="3"/>
    <w:p>
      <w:pPr>
        <w:spacing w:after="0"/>
        <w:ind w:left="0"/>
        <w:jc w:val="left"/>
      </w:pPr>
      <w:r>
        <w:rPr>
          <w:rFonts w:ascii="Times New Roman"/>
          <w:b/>
          <w:i w:val="false"/>
          <w:color w:val="000000"/>
        </w:rPr>
        <w:t xml:space="preserve"> 
Перечень отчетности о выполнении пруденциальных нормативов</w:t>
      </w:r>
      <w:r>
        <w:br/>
      </w:r>
      <w:r>
        <w:rPr>
          <w:rFonts w:ascii="Times New Roman"/>
          <w:b/>
          <w:i w:val="false"/>
          <w:color w:val="000000"/>
        </w:rPr>
        <w:t>
банками второго уровня</w:t>
      </w:r>
    </w:p>
    <w:bookmarkEnd w:id="3"/>
    <w:bookmarkStart w:name="z15" w:id="4"/>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r>
        <w:br/>
      </w:r>
      <w:r>
        <w:rPr>
          <w:rFonts w:ascii="Times New Roman"/>
          <w:b w:val="false"/>
          <w:i w:val="false"/>
          <w:color w:val="000000"/>
          <w:sz w:val="28"/>
        </w:rPr>
        <w:t>
      1) отчет о выполнении пруденциальных нормативов;</w:t>
      </w:r>
      <w:r>
        <w:br/>
      </w:r>
      <w:r>
        <w:rPr>
          <w:rFonts w:ascii="Times New Roman"/>
          <w:b w:val="false"/>
          <w:i w:val="false"/>
          <w:color w:val="000000"/>
          <w:sz w:val="28"/>
        </w:rPr>
        <w:t>
      2) отчет о расшифровке активов, взвешенных с учетом кредитного риска;</w:t>
      </w:r>
      <w:r>
        <w:br/>
      </w: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r>
        <w:br/>
      </w: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val="false"/>
          <w:i w:val="false"/>
          <w:color w:val="000000"/>
          <w:sz w:val="28"/>
        </w:rPr>
        <w:t>
      5) отчет о расшифровке расчета специфичного процентного риска (в разрезе валют);</w:t>
      </w:r>
      <w:r>
        <w:br/>
      </w:r>
      <w:r>
        <w:rPr>
          <w:rFonts w:ascii="Times New Roman"/>
          <w:b w:val="false"/>
          <w:i w:val="false"/>
          <w:color w:val="000000"/>
          <w:sz w:val="28"/>
        </w:rPr>
        <w:t>
      6) отчет о распределении открытых позиций по временным интервалам (в разрезе валют);</w:t>
      </w:r>
      <w:r>
        <w:br/>
      </w:r>
      <w:r>
        <w:rPr>
          <w:rFonts w:ascii="Times New Roman"/>
          <w:b w:val="false"/>
          <w:i w:val="false"/>
          <w:color w:val="000000"/>
          <w:sz w:val="28"/>
        </w:rPr>
        <w:t>
      7) отчет о расшифровке расчета общего процентного риска (в разрезе валют);</w:t>
      </w:r>
      <w:r>
        <w:br/>
      </w:r>
      <w:r>
        <w:rPr>
          <w:rFonts w:ascii="Times New Roman"/>
          <w:b w:val="false"/>
          <w:i w:val="false"/>
          <w:color w:val="000000"/>
          <w:sz w:val="28"/>
        </w:rPr>
        <w:t>
      8) отчет о расшифровке максимального размера риска на одного заемщика;</w:t>
      </w:r>
      <w:r>
        <w:br/>
      </w:r>
      <w:r>
        <w:rPr>
          <w:rFonts w:ascii="Times New Roman"/>
          <w:b w:val="false"/>
          <w:i w:val="false"/>
          <w:color w:val="000000"/>
          <w:sz w:val="28"/>
        </w:rPr>
        <w:t>
      9) отчет о расшифровке максимального размера риска на одного заемщика (в разрезе заемщиков);</w:t>
      </w:r>
      <w:r>
        <w:br/>
      </w:r>
      <w:r>
        <w:rPr>
          <w:rFonts w:ascii="Times New Roman"/>
          <w:b w:val="false"/>
          <w:i w:val="false"/>
          <w:color w:val="000000"/>
          <w:sz w:val="28"/>
        </w:rPr>
        <w:t>
      10) отчет о расшифровке коэффициента текущей ликвидности k4;</w:t>
      </w:r>
      <w:r>
        <w:br/>
      </w:r>
      <w:r>
        <w:rPr>
          <w:rFonts w:ascii="Times New Roman"/>
          <w:b w:val="false"/>
          <w:i w:val="false"/>
          <w:color w:val="000000"/>
          <w:sz w:val="28"/>
        </w:rPr>
        <w:t>
      11) отчет о расшифровке коэффициентов срочной ликвидности k4-1, k4-2, k4-3;</w:t>
      </w:r>
      <w:r>
        <w:br/>
      </w:r>
      <w:r>
        <w:rPr>
          <w:rFonts w:ascii="Times New Roman"/>
          <w:b w:val="false"/>
          <w:i w:val="false"/>
          <w:color w:val="000000"/>
          <w:sz w:val="28"/>
        </w:rPr>
        <w:t>
      12) отчет о расшифровке коэффициентов срочной валютной ликвидности k4-4, k4-5, k4-6;</w:t>
      </w:r>
      <w:r>
        <w:br/>
      </w:r>
      <w:r>
        <w:rPr>
          <w:rFonts w:ascii="Times New Roman"/>
          <w:b w:val="false"/>
          <w:i w:val="false"/>
          <w:color w:val="000000"/>
          <w:sz w:val="28"/>
        </w:rPr>
        <w:t>
      13) отчет о валютных позициях по каждой иностранной валюте и валютной нетто-позиции за каждый рабочий день недели (месяца);</w:t>
      </w:r>
      <w:r>
        <w:br/>
      </w:r>
      <w:r>
        <w:rPr>
          <w:rFonts w:ascii="Times New Roman"/>
          <w:b w:val="false"/>
          <w:i w:val="false"/>
          <w:color w:val="000000"/>
          <w:sz w:val="28"/>
        </w:rPr>
        <w:t>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val="false"/>
          <w:i w:val="false"/>
          <w:color w:val="000000"/>
          <w:sz w:val="28"/>
        </w:rPr>
        <w:t>
      15) отчет о расшифровке коэффициентов капитализации банков к обязательствам перед нерезидентами Республики Казахстан;</w:t>
      </w:r>
      <w:r>
        <w:br/>
      </w:r>
      <w:r>
        <w:rPr>
          <w:rFonts w:ascii="Times New Roman"/>
          <w:b w:val="false"/>
          <w:i w:val="false"/>
          <w:color w:val="000000"/>
          <w:sz w:val="28"/>
        </w:rPr>
        <w:t>
      16) отчет о расчете коэффициентов достаточности собственного капитала при секьюритизации;</w:t>
      </w:r>
      <w:r>
        <w:br/>
      </w:r>
      <w:r>
        <w:rPr>
          <w:rFonts w:ascii="Times New Roman"/>
          <w:b w:val="false"/>
          <w:i w:val="false"/>
          <w:color w:val="000000"/>
          <w:sz w:val="28"/>
        </w:rPr>
        <w:t>
      17) отчет о расшифровке активов, взвешенных с учетом кредитного риска, представляемый исламскими банками;</w:t>
      </w:r>
      <w:r>
        <w:br/>
      </w:r>
      <w:r>
        <w:rPr>
          <w:rFonts w:ascii="Times New Roman"/>
          <w:b w:val="false"/>
          <w:i w:val="false"/>
          <w:color w:val="000000"/>
          <w:sz w:val="28"/>
        </w:rPr>
        <w:t>
      18) 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val="false"/>
          <w:i w:val="false"/>
          <w:color w:val="000000"/>
          <w:sz w:val="28"/>
        </w:rPr>
        <w:t>
      19) 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val="false"/>
          <w:i w:val="false"/>
          <w:color w:val="000000"/>
          <w:sz w:val="28"/>
        </w:rPr>
        <w:t>
      20) отчет о расшифровке коэффициента покрытия ликвидности.</w:t>
      </w:r>
    </w:p>
    <w:bookmarkEnd w:id="4"/>
    <w:bookmarkStart w:name="z16"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мая 2016 года № 143</w:t>
      </w:r>
    </w:p>
    <w:bookmarkEnd w:id="5"/>
    <w:p>
      <w:pPr>
        <w:spacing w:after="0"/>
        <w:ind w:left="0"/>
        <w:jc w:val="both"/>
      </w:pPr>
      <w:r>
        <w:rPr>
          <w:rFonts w:ascii="Times New Roman"/>
          <w:b w:val="false"/>
          <w:i w:val="false"/>
          <w:color w:val="000000"/>
          <w:sz w:val="28"/>
        </w:rPr>
        <w:t xml:space="preserve">Приложение 20-1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мая 2015 года № 75</w:t>
      </w:r>
    </w:p>
    <w:p>
      <w:pPr>
        <w:spacing w:after="0"/>
        <w:ind w:left="0"/>
        <w:jc w:val="both"/>
      </w:pPr>
      <w:r>
        <w:rPr>
          <w:rFonts w:ascii="Times New Roman"/>
          <w:b w:val="false"/>
          <w:i w:val="false"/>
          <w:color w:val="000000"/>
          <w:sz w:val="28"/>
        </w:rPr>
        <w:t>        </w:t>
      </w:r>
      <w:r>
        <w:rPr>
          <w:rFonts w:ascii="Times New Roman"/>
          <w:b/>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        </w:t>
      </w:r>
      <w:r>
        <w:rPr>
          <w:rFonts w:ascii="Times New Roman"/>
          <w:b/>
          <w:i w:val="false"/>
          <w:color w:val="000000"/>
          <w:sz w:val="28"/>
        </w:rPr>
        <w:t>Отчет о расшифровке коэффициента покрытия ликвидности</w:t>
      </w:r>
    </w:p>
    <w:p>
      <w:pPr>
        <w:spacing w:after="0"/>
        <w:ind w:left="0"/>
        <w:jc w:val="both"/>
      </w:pPr>
      <w:r>
        <w:rPr>
          <w:rFonts w:ascii="Times New Roman"/>
          <w:b w:val="false"/>
          <w:i w:val="false"/>
          <w:color w:val="000000"/>
          <w:sz w:val="28"/>
        </w:rPr>
        <w:t>        </w:t>
      </w:r>
      <w:r>
        <w:rPr>
          <w:rFonts w:ascii="Times New Roman"/>
          <w:b/>
          <w:i w:val="false"/>
          <w:color w:val="000000"/>
          <w:sz w:val="28"/>
        </w:rPr>
        <w:t>Отчетный период: на «___» ________ 20__ года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Индекс: 1-BVU_LCR</w:t>
      </w:r>
      <w:r>
        <w:br/>
      </w:r>
      <w:r>
        <w:rPr>
          <w:rFonts w:ascii="Times New Roman"/>
          <w:b w:val="false"/>
          <w:i w:val="false"/>
          <w:color w:val="000000"/>
          <w:sz w:val="28"/>
        </w:rPr>
        <w:t>
      Периодичность: ежемесячная</w:t>
      </w:r>
      <w:r>
        <w:br/>
      </w:r>
      <w:r>
        <w:rPr>
          <w:rFonts w:ascii="Times New Roman"/>
          <w:b w:val="false"/>
          <w:i w:val="false"/>
          <w:color w:val="000000"/>
          <w:sz w:val="28"/>
        </w:rPr>
        <w:t>
      Представляет: банк второго уровня</w:t>
      </w:r>
      <w:r>
        <w:br/>
      </w:r>
      <w:r>
        <w:rPr>
          <w:rFonts w:ascii="Times New Roman"/>
          <w:b w:val="false"/>
          <w:i w:val="false"/>
          <w:color w:val="000000"/>
          <w:sz w:val="28"/>
        </w:rPr>
        <w:t>
      Куда представляется форма: Национальный Банк Республики Казахстан</w:t>
      </w:r>
      <w:r>
        <w:br/>
      </w:r>
      <w:r>
        <w:rPr>
          <w:rFonts w:ascii="Times New Roman"/>
          <w:b w:val="false"/>
          <w:i w:val="false"/>
          <w:color w:val="000000"/>
          <w:sz w:val="28"/>
        </w:rPr>
        <w:t>
      Срок представления: не позднее двадцатого числа месяца,</w:t>
      </w:r>
      <w:r>
        <w:br/>
      </w:r>
      <w:r>
        <w:rPr>
          <w:rFonts w:ascii="Times New Roman"/>
          <w:b w:val="false"/>
          <w:i w:val="false"/>
          <w:color w:val="000000"/>
          <w:sz w:val="28"/>
        </w:rPr>
        <w:t>
      следующего за отчетным месяцем.</w:t>
      </w:r>
    </w:p>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13"/>
        <w:gridCol w:w="613"/>
        <w:gridCol w:w="4736"/>
        <w:gridCol w:w="2793"/>
        <w:gridCol w:w="933"/>
        <w:gridCol w:w="893"/>
        <w:gridCol w:w="813"/>
        <w:gridCol w:w="833"/>
      </w:tblGrid>
      <w:tr>
        <w:trPr>
          <w:trHeight w:val="25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статей</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учета</w:t>
            </w:r>
            <w:r>
              <w:br/>
            </w:r>
            <w:r>
              <w:rPr>
                <w:rFonts w:ascii="Times New Roman"/>
                <w:b w:val="false"/>
                <w:i w:val="false"/>
                <w:color w:val="000000"/>
                <w:sz w:val="20"/>
              </w:rPr>
              <w:t>
</w:t>
            </w:r>
            <w:r>
              <w:rPr>
                <w:rFonts w:ascii="Times New Roman"/>
                <w:b w:val="false"/>
                <w:i w:val="false"/>
                <w:color w:val="000000"/>
                <w:sz w:val="20"/>
              </w:rPr>
              <w:t>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 расчету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первого уровня</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в Национальном Банке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Правительству Республики Казахстан, Национальному Банку Республики Казахстан, центральным правительствам иностранных государств и центральным банкам иностранных государств, к международным финансовым организациям, взвешиваемые по степени кредитного риска 0 (ноль) процентов, в том числе: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гарантированные Правительством Республики Казахстан, Национальным Банком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Правительству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Национальному Банку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Правительства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 второго уровня</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 в том числе: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местных органов власти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гарантированные международными финансовыми организациями, имеющими долговой долговой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депозитам физических лиц</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Стабильные депозиты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стабильные депозиты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обязательствам перед юридическими лицами,</w:t>
            </w:r>
            <w:r>
              <w:br/>
            </w:r>
            <w:r>
              <w:rPr>
                <w:rFonts w:ascii="Times New Roman"/>
                <w:b w:val="false"/>
                <w:i w:val="false"/>
                <w:color w:val="000000"/>
                <w:sz w:val="20"/>
              </w:rPr>
              <w:t>
</w:t>
            </w:r>
            <w:r>
              <w:rPr>
                <w:rFonts w:ascii="Times New Roman"/>
                <w:b w:val="false"/>
                <w:i w:val="false"/>
                <w:color w:val="000000"/>
                <w:sz w:val="20"/>
              </w:rPr>
              <w:t>субъектами малого предпринимательства, необеспеченным активами банка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Депозиты нефинансовых организаций, Правительства Республики Казахстан, Национального Банка Республики Казахстан,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иными юридическими лицами, в том числе обязательства по выпущенным ценным бумагам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оттоки по обязательствам перед юридическими лицами,</w:t>
            </w:r>
            <w:r>
              <w:br/>
            </w:r>
            <w:r>
              <w:rPr>
                <w:rFonts w:ascii="Times New Roman"/>
                <w:b w:val="false"/>
                <w:i w:val="false"/>
                <w:color w:val="000000"/>
                <w:sz w:val="20"/>
              </w:rPr>
              <w:t>
</w:t>
            </w:r>
            <w:r>
              <w:rPr>
                <w:rFonts w:ascii="Times New Roman"/>
                <w:b w:val="false"/>
                <w:i w:val="false"/>
                <w:color w:val="000000"/>
                <w:sz w:val="20"/>
              </w:rPr>
              <w:t>обеспеченным активами банка</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обеспеченные высококачественными ликвидными активами первого уровня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Правительством Республики Казахстан и Национальным Банком Республики Казахстан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обеспеченные высококачественными ликвидными активами второго уровня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обеспеченные обязательства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денежные оттоки</w:t>
            </w:r>
            <w:r>
              <w:br/>
            </w:r>
            <w:r>
              <w:rPr>
                <w:rFonts w:ascii="Times New Roman"/>
                <w:b w:val="false"/>
                <w:i w:val="false"/>
                <w:color w:val="000000"/>
                <w:sz w:val="20"/>
              </w:rPr>
              <w:t>
</w:t>
            </w:r>
            <w:r>
              <w:rPr>
                <w:rFonts w:ascii="Times New Roman"/>
                <w:b w:val="false"/>
                <w:i w:val="false"/>
                <w:color w:val="000000"/>
                <w:sz w:val="20"/>
              </w:rPr>
              <w:t>по условным и возможным обязательствам</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потребность в ликвидности по производным финансовым инструментам и иным договорам при снижении рейтинга банка до 3 (трех) ступеней включительно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Наибольший тридцатидневный нетто отток за предыдущие 24 (двадцать четыре) месяца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по ценным бумагам, обеспеченным поступлением денег по активам, в том числе по ипотечным ценным бумагам, выпущенным банком и имеющим срок погашения менее 30 (тридцати) календарных дней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по ценным бумагам, обеспеченным поступлением денег по активам и выпущенным дочерними специальными организациями банка, имеющим срок погашения менее 30 (тридцати) календарных дней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органам власти Республики Казахстан и международным финансовым организациям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другим банкам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предоставленных финансовым организациям, не являющимся банками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линий ликвидности, предоставленных иным финансовым организациям, не являющимся банками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в дополнительной ликвидности по безусловно отзывным кредитным линиям и линиям ликвидности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гарантиям и поручительствам, аккредитивам, не связанным с финансированием экспорта и импорта товаров и услуг</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денежные оттоки по обязательствам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притоки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высококачественными ликвидными активами первого уровня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высококачественными ликвидными активами второго уровня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операции, обеспеченные иными активами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линии, линии ликвидности, предоставленные другими банками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 и субъектам малого предпринимательства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нефинансовым организациям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притоки по производным финансовым инструментам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денежные притоки от операций, по договорам которых ожидаются денежные притоки в ближайшие 30 (тридцать) календарных дней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Высококачественные ликвидные активы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 отток денежных средств по операциям банка в течение последующих 30 (тридцати) календарных дней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покрытия ликвидности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280"/>
        <w:gridCol w:w="5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руководитель (на период его отсутствия - лицо, его замещающее)</w:t>
            </w:r>
          </w:p>
        </w:tc>
      </w:tr>
      <w:tr>
        <w:trPr>
          <w:trHeight w:val="30" w:hRule="atLeast"/>
        </w:trPr>
        <w:tc>
          <w:tcPr>
            <w:tcW w:w="8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фамилия, имя, отчество (при его наличии)</w:t>
            </w:r>
          </w:p>
        </w:tc>
        <w:tc>
          <w:tcPr>
            <w:tcW w:w="5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8260"/>
        <w:gridCol w:w="54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r>
      <w:tr>
        <w:trPr>
          <w:trHeight w:val="30" w:hRule="atLeast"/>
        </w:trPr>
        <w:tc>
          <w:tcPr>
            <w:tcW w:w="8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r>
              <w:br/>
            </w:r>
            <w:r>
              <w:rPr>
                <w:rFonts w:ascii="Times New Roman"/>
                <w:b w:val="false"/>
                <w:i w:val="false"/>
                <w:color w:val="000000"/>
                <w:sz w:val="20"/>
              </w:rPr>
              <w:t>
фамилия, имя, отчество (при его наличии)</w:t>
            </w:r>
          </w:p>
        </w:tc>
        <w:tc>
          <w:tcPr>
            <w:tcW w:w="5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2320"/>
        <w:gridCol w:w="2040"/>
        <w:gridCol w:w="4840"/>
        <w:gridCol w:w="1780"/>
        <w:gridCol w:w="2840"/>
      </w:tblGrid>
      <w:tr>
        <w:trPr>
          <w:trHeight w:val="30" w:hRule="atLeast"/>
        </w:trPr>
        <w:tc>
          <w:tcPr>
            <w:tcW w:w="2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2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должность</w:t>
            </w:r>
          </w:p>
        </w:tc>
        <w:tc>
          <w:tcPr>
            <w:tcW w:w="4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фамилия, имя, отчеств (при его наличии)</w:t>
            </w:r>
          </w:p>
        </w:tc>
        <w:tc>
          <w:tcPr>
            <w:tcW w:w="1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подпись</w:t>
            </w:r>
          </w:p>
        </w:tc>
        <w:tc>
          <w:tcPr>
            <w:tcW w:w="2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номер телефона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подписания отчета «_____» _____________ 20___ года</w:t>
      </w:r>
      <w:r>
        <w:br/>
      </w: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bookmarkStart w:name="z18" w:id="6"/>
    <w:p>
      <w:pPr>
        <w:spacing w:after="0"/>
        <w:ind w:left="0"/>
        <w:jc w:val="both"/>
      </w:pPr>
      <w:r>
        <w:rPr>
          <w:rFonts w:ascii="Times New Roman"/>
          <w:b w:val="false"/>
          <w:i w:val="false"/>
          <w:color w:val="000000"/>
          <w:sz w:val="28"/>
        </w:rPr>
        <w:t>
Приложение к форме отчета</w:t>
      </w:r>
      <w:r>
        <w:br/>
      </w:r>
      <w:r>
        <w:rPr>
          <w:rFonts w:ascii="Times New Roman"/>
          <w:b w:val="false"/>
          <w:i w:val="false"/>
          <w:color w:val="000000"/>
          <w:sz w:val="28"/>
        </w:rPr>
        <w:t>
о расшифровке коэффициента</w:t>
      </w:r>
      <w:r>
        <w:br/>
      </w:r>
      <w:r>
        <w:rPr>
          <w:rFonts w:ascii="Times New Roman"/>
          <w:b w:val="false"/>
          <w:i w:val="false"/>
          <w:color w:val="000000"/>
          <w:sz w:val="28"/>
        </w:rPr>
        <w:t xml:space="preserve">
покрытия ликвидности   </w:t>
      </w:r>
    </w:p>
    <w:bookmarkEnd w:id="6"/>
    <w:bookmarkStart w:name="z19" w:id="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предназначенной для сбора административных данных</w:t>
      </w:r>
    </w:p>
    <w:bookmarkEnd w:id="7"/>
    <w:bookmarkStart w:name="z20" w:id="8"/>
    <w:p>
      <w:pPr>
        <w:spacing w:after="0"/>
        <w:ind w:left="0"/>
        <w:jc w:val="left"/>
      </w:pPr>
      <w:r>
        <w:rPr>
          <w:rFonts w:ascii="Times New Roman"/>
          <w:b/>
          <w:i w:val="false"/>
          <w:color w:val="000000"/>
        </w:rPr>
        <w:t xml:space="preserve"> 
Отчет о расшифровке коэффициента покрытия ликвидности</w:t>
      </w:r>
    </w:p>
    <w:bookmarkEnd w:id="8"/>
    <w:bookmarkStart w:name="z21" w:id="9"/>
    <w:p>
      <w:pPr>
        <w:spacing w:after="0"/>
        <w:ind w:left="0"/>
        <w:jc w:val="left"/>
      </w:pPr>
      <w:r>
        <w:rPr>
          <w:rFonts w:ascii="Times New Roman"/>
          <w:b/>
          <w:i w:val="false"/>
          <w:color w:val="000000"/>
        </w:rPr>
        <w:t xml:space="preserve"> 
1. Общие положения</w:t>
      </w:r>
    </w:p>
    <w:bookmarkEnd w:id="9"/>
    <w:bookmarkStart w:name="z22" w:id="1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коэффициента покрытия ликвидности» (далее - Форма).</w:t>
      </w:r>
      <w:r>
        <w:br/>
      </w:r>
      <w:r>
        <w:rPr>
          <w:rFonts w:ascii="Times New Roman"/>
          <w:b w:val="false"/>
          <w:i w:val="false"/>
          <w:color w:val="000000"/>
          <w:sz w:val="28"/>
        </w:rPr>
        <w:t>
</w:t>
      </w:r>
      <w:r>
        <w:rPr>
          <w:rFonts w:ascii="Times New Roman"/>
          <w:b w:val="false"/>
          <w:i w:val="false"/>
          <w:color w:val="000000"/>
          <w:sz w:val="28"/>
        </w:rPr>
        <w:t>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3. Форма составляется ежемесячно банками второго уровня и заполняется за каждый календарный день отчетного периода. Данные в Форме заполняются в тысячах тенге.</w:t>
      </w:r>
      <w:r>
        <w:br/>
      </w:r>
      <w:r>
        <w:rPr>
          <w:rFonts w:ascii="Times New Roman"/>
          <w:b w:val="false"/>
          <w:i w:val="false"/>
          <w:color w:val="000000"/>
          <w:sz w:val="28"/>
        </w:rPr>
        <w:t>
</w:t>
      </w:r>
      <w:r>
        <w:rPr>
          <w:rFonts w:ascii="Times New Roman"/>
          <w:b w:val="false"/>
          <w:i w:val="false"/>
          <w:color w:val="000000"/>
          <w:sz w:val="28"/>
        </w:rPr>
        <w:t>
      4. Форму подписывают первый руководитель (на период его отсутствия - лицо, его замещающее), главный бухгалтер и исполнитель.</w:t>
      </w:r>
      <w:r>
        <w:br/>
      </w:r>
      <w:r>
        <w:rPr>
          <w:rFonts w:ascii="Times New Roman"/>
          <w:b w:val="false"/>
          <w:i w:val="false"/>
          <w:color w:val="000000"/>
          <w:sz w:val="28"/>
        </w:rPr>
        <w:t>
</w:t>
      </w:r>
      <w:r>
        <w:rPr>
          <w:rFonts w:ascii="Times New Roman"/>
          <w:b w:val="false"/>
          <w:i w:val="false"/>
          <w:color w:val="000000"/>
          <w:sz w:val="28"/>
        </w:rPr>
        <w:t>
      5. В течение периода с 1 июля 2016 года по 30 июня 2017 года в случае обнаружения неполной и (или) недостоверной информации в Форме после предоставления в Национальный Банк Республики Казахстан банк второго уровня письменно уведомляет об этом уполномоченный орган с приложением информации об ошибках в отчетности, при этом представление доработанной отчетности не требуется.</w:t>
      </w:r>
    </w:p>
    <w:bookmarkEnd w:id="10"/>
    <w:bookmarkStart w:name="z27" w:id="11"/>
    <w:p>
      <w:pPr>
        <w:spacing w:after="0"/>
        <w:ind w:left="0"/>
        <w:jc w:val="left"/>
      </w:pPr>
      <w:r>
        <w:rPr>
          <w:rFonts w:ascii="Times New Roman"/>
          <w:b/>
          <w:i w:val="false"/>
          <w:color w:val="000000"/>
        </w:rPr>
        <w:t xml:space="preserve"> 
2. Пояснение по заполнению Формы</w:t>
      </w:r>
    </w:p>
    <w:bookmarkEnd w:id="11"/>
    <w:bookmarkStart w:name="z28" w:id="12"/>
    <w:p>
      <w:pPr>
        <w:spacing w:after="0"/>
        <w:ind w:left="0"/>
        <w:jc w:val="both"/>
      </w:pPr>
      <w:r>
        <w:rPr>
          <w:rFonts w:ascii="Times New Roman"/>
          <w:b w:val="false"/>
          <w:i w:val="false"/>
          <w:color w:val="000000"/>
          <w:sz w:val="28"/>
        </w:rPr>
        <w:t>
      6.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зарегистрированным в Реестре государственной регистрации нормативных правовых актов под № (далее – Нормативные значения).</w:t>
      </w:r>
      <w:r>
        <w:br/>
      </w:r>
      <w:r>
        <w:rPr>
          <w:rFonts w:ascii="Times New Roman"/>
          <w:b w:val="false"/>
          <w:i w:val="false"/>
          <w:color w:val="000000"/>
          <w:sz w:val="28"/>
        </w:rPr>
        <w:t>
</w:t>
      </w:r>
      <w:r>
        <w:rPr>
          <w:rFonts w:ascii="Times New Roman"/>
          <w:b w:val="false"/>
          <w:i w:val="false"/>
          <w:color w:val="000000"/>
          <w:sz w:val="28"/>
        </w:rPr>
        <w:t>
      7. Высококачественные ликвидные активы банка рассчитываются с учетом операционных требований, установленных </w:t>
      </w:r>
      <w:r>
        <w:rPr>
          <w:rFonts w:ascii="Times New Roman"/>
          <w:b w:val="false"/>
          <w:i w:val="false"/>
          <w:color w:val="000000"/>
          <w:sz w:val="28"/>
        </w:rPr>
        <w:t>пунктом 71</w:t>
      </w:r>
      <w:r>
        <w:rPr>
          <w:rFonts w:ascii="Times New Roman"/>
          <w:b w:val="false"/>
          <w:i w:val="false"/>
          <w:color w:val="000000"/>
          <w:sz w:val="28"/>
        </w:rPr>
        <w:t xml:space="preserve"> Нормативных значений и с применением коэффициентов учета, установленных в </w:t>
      </w:r>
      <w:r>
        <w:rPr>
          <w:rFonts w:ascii="Times New Roman"/>
          <w:b w:val="false"/>
          <w:i w:val="false"/>
          <w:color w:val="000000"/>
          <w:sz w:val="28"/>
        </w:rPr>
        <w:t>приложении 12</w:t>
      </w:r>
      <w:r>
        <w:rPr>
          <w:rFonts w:ascii="Times New Roman"/>
          <w:b w:val="false"/>
          <w:i w:val="false"/>
          <w:color w:val="000000"/>
          <w:sz w:val="28"/>
        </w:rPr>
        <w:t xml:space="preserve"> к Нормативным значениям.</w:t>
      </w:r>
      <w:r>
        <w:br/>
      </w:r>
      <w:r>
        <w:rPr>
          <w:rFonts w:ascii="Times New Roman"/>
          <w:b w:val="false"/>
          <w:i w:val="false"/>
          <w:color w:val="000000"/>
          <w:sz w:val="28"/>
        </w:rPr>
        <w:t>
</w:t>
      </w:r>
      <w:r>
        <w:rPr>
          <w:rFonts w:ascii="Times New Roman"/>
          <w:b w:val="false"/>
          <w:i w:val="false"/>
          <w:color w:val="000000"/>
          <w:sz w:val="28"/>
        </w:rPr>
        <w:t>
      8. Денежный отток (приток) рассчитывается как сумма денежных оттоков (притоков) в течение последующих 30 (тридцати) календарных дней с применением коэффициентов оттока (притока),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Нормативным значениям.</w:t>
      </w:r>
      <w:r>
        <w:br/>
      </w:r>
      <w:r>
        <w:rPr>
          <w:rFonts w:ascii="Times New Roman"/>
          <w:b w:val="false"/>
          <w:i w:val="false"/>
          <w:color w:val="000000"/>
          <w:sz w:val="28"/>
        </w:rPr>
        <w:t>
</w:t>
      </w:r>
      <w:r>
        <w:rPr>
          <w:rFonts w:ascii="Times New Roman"/>
          <w:b w:val="false"/>
          <w:i w:val="false"/>
          <w:color w:val="000000"/>
          <w:sz w:val="28"/>
        </w:rPr>
        <w:t>
      9. При заполнении Формы в строке 48 суммируются данные по высококачественным ликвидным активам первого и второго уровней.</w:t>
      </w:r>
      <w:r>
        <w:br/>
      </w:r>
      <w:r>
        <w:rPr>
          <w:rFonts w:ascii="Times New Roman"/>
          <w:b w:val="false"/>
          <w:i w:val="false"/>
          <w:color w:val="000000"/>
          <w:sz w:val="28"/>
        </w:rPr>
        <w:t>
</w:t>
      </w:r>
      <w:r>
        <w:rPr>
          <w:rFonts w:ascii="Times New Roman"/>
          <w:b w:val="false"/>
          <w:i w:val="false"/>
          <w:color w:val="000000"/>
          <w:sz w:val="28"/>
        </w:rPr>
        <w:t>
      10. При заполнении Формы в строке 49 расчет производится в соответствии с пунктом 75 Нормативных значений.</w:t>
      </w:r>
      <w:r>
        <w:br/>
      </w:r>
      <w:r>
        <w:rPr>
          <w:rFonts w:ascii="Times New Roman"/>
          <w:b w:val="false"/>
          <w:i w:val="false"/>
          <w:color w:val="000000"/>
          <w:sz w:val="28"/>
        </w:rPr>
        <w:t>
</w:t>
      </w:r>
      <w:r>
        <w:rPr>
          <w:rFonts w:ascii="Times New Roman"/>
          <w:b w:val="false"/>
          <w:i w:val="false"/>
          <w:color w:val="000000"/>
          <w:sz w:val="28"/>
        </w:rPr>
        <w:t>
      11. При заполнении Формы в строке 50 указывается отношение высококачественных ликвидных активов к нетто оттоку денежных средств по операциям банка в течение последующих 30 (тридцати) календарных дней в процентном выражении.</w:t>
      </w:r>
      <w:r>
        <w:br/>
      </w:r>
      <w:r>
        <w:rPr>
          <w:rFonts w:ascii="Times New Roman"/>
          <w:b w:val="false"/>
          <w:i w:val="false"/>
          <w:color w:val="000000"/>
          <w:sz w:val="28"/>
        </w:rPr>
        <w:t>
</w:t>
      </w:r>
      <w:r>
        <w:rPr>
          <w:rFonts w:ascii="Times New Roman"/>
          <w:b w:val="false"/>
          <w:i w:val="false"/>
          <w:color w:val="000000"/>
          <w:sz w:val="28"/>
        </w:rPr>
        <w:t>
      12. При заполнении Формы в графе 4 указываются суммы по наименованиям статей в графе 2 за каждый день отчетного месяца с применением коэффициентов учета установленных в графе 3.</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