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c696" w14:textId="c5fc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внешних управляющих активами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126. Зарегистрировано в Министерстве юстиции Республики Казахстан 13 июля 2016 года № 13915. Утратило силу постановлением Правления Национального Банка Республики Казахстан от 19 марта 2020 года № 29.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19.03.2020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а также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 65 от 25 июля 2006 года "Об утверждении Правил осуществления инвестиционных операций Национального фонда Республики Казахстан" (зарегистрированным в Реестре государственной регистрации нормативных правовых актов под № 4361) Правление Национального Банка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внешних управляющих активами Национального фонда Республики Казахстан. </w:t>
      </w:r>
    </w:p>
    <w:bookmarkEnd w:id="0"/>
    <w:bookmarkStart w:name="z2" w:id="1"/>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3. Департаменту монетарных операций (Молдабекова А.М.) в установленном законодательством Республики Казахстан порядке обеспечить: </w:t>
      </w:r>
    </w:p>
    <w:bookmarkEnd w:id="2"/>
    <w:p>
      <w:pPr>
        <w:spacing w:after="0"/>
        <w:ind w:left="0"/>
        <w:jc w:val="both"/>
      </w:pPr>
      <w:r>
        <w:rPr>
          <w:rFonts w:ascii="Times New Roman"/>
          <w:b w:val="false"/>
          <w:i w:val="false"/>
          <w:color w:val="000000"/>
          <w:sz w:val="28"/>
        </w:rPr>
        <w:t xml:space="preserve">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xml:space="preserve">
      3) размещение настоящего постановления на официальном интернет-ресурсе Национального Банка Республики Казахстан после его официального опубликования. </w:t>
      </w:r>
    </w:p>
    <w:bookmarkStart w:name="z4" w:id="3"/>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A.Л.)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Пирматова Г.О. </w:t>
      </w:r>
    </w:p>
    <w:bookmarkEnd w:id="4"/>
    <w:bookmarkStart w:name="z6" w:id="5"/>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126</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выбора внешних управляющих активами Национального фонда</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выбора внешних управляющих активами Национального фонда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а также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65 от 25 июля 2006 года "Об утверждении Правил осуществления инвестиционных операций Национального фонда Республики Казахстан", зарегистрированным в Реестре государственной регистрации нормативных правовых актов под № 4361, (далее – Правила осуществления инвестиционных операций Фонда) и регулируют общий порядок и условия передачи активов Национального фонда Республики Казахстан (далее - Фонд) во внешнее или внешнее транзитное управление зарубежным банкам и специализированным организациям по управлению активами.</w:t>
      </w:r>
    </w:p>
    <w:bookmarkEnd w:id="7"/>
    <w:bookmarkStart w:name="z11" w:id="8"/>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а также следующие понятия:</w:t>
      </w:r>
    </w:p>
    <w:bookmarkEnd w:id="8"/>
    <w:bookmarkStart w:name="z12" w:id="9"/>
    <w:p>
      <w:pPr>
        <w:spacing w:after="0"/>
        <w:ind w:left="0"/>
        <w:jc w:val="both"/>
      </w:pPr>
      <w:r>
        <w:rPr>
          <w:rFonts w:ascii="Times New Roman"/>
          <w:b w:val="false"/>
          <w:i w:val="false"/>
          <w:color w:val="000000"/>
          <w:sz w:val="28"/>
        </w:rPr>
        <w:t>
      1) региональный мандат – портфель, инвестиции которого сосредоточены в рамках одной страны (рынка, региона);</w:t>
      </w:r>
    </w:p>
    <w:bookmarkEnd w:id="9"/>
    <w:bookmarkStart w:name="z13" w:id="10"/>
    <w:p>
      <w:pPr>
        <w:spacing w:after="0"/>
        <w:ind w:left="0"/>
        <w:jc w:val="both"/>
      </w:pPr>
      <w:r>
        <w:rPr>
          <w:rFonts w:ascii="Times New Roman"/>
          <w:b w:val="false"/>
          <w:i w:val="false"/>
          <w:color w:val="000000"/>
          <w:sz w:val="28"/>
        </w:rPr>
        <w:t>
      2) активное управление активами – тип управления, при котором значение изменчивости отклонения доходности (tracking error) превышает 0,5 (ноль целях пять десятых) процента;</w:t>
      </w:r>
    </w:p>
    <w:bookmarkEnd w:id="10"/>
    <w:bookmarkStart w:name="z14" w:id="11"/>
    <w:p>
      <w:pPr>
        <w:spacing w:after="0"/>
        <w:ind w:left="0"/>
        <w:jc w:val="both"/>
      </w:pPr>
      <w:r>
        <w:rPr>
          <w:rFonts w:ascii="Times New Roman"/>
          <w:b w:val="false"/>
          <w:i w:val="false"/>
          <w:color w:val="000000"/>
          <w:sz w:val="28"/>
        </w:rPr>
        <w:t>
      3) пассивное управление активами – тип управления, при котором значение изменчивости отклонения доходности (tracking error) не превышает 0,5 (ноль целых пять десятых) процента. При пассивном управлении доходность портфеля во внешнем управлении приблизительно равна доходности эталонного портфеля;</w:t>
      </w:r>
    </w:p>
    <w:bookmarkEnd w:id="11"/>
    <w:bookmarkStart w:name="z15" w:id="12"/>
    <w:p>
      <w:pPr>
        <w:spacing w:after="0"/>
        <w:ind w:left="0"/>
        <w:jc w:val="both"/>
      </w:pPr>
      <w:r>
        <w:rPr>
          <w:rFonts w:ascii="Times New Roman"/>
          <w:b w:val="false"/>
          <w:i w:val="false"/>
          <w:color w:val="000000"/>
          <w:sz w:val="28"/>
        </w:rPr>
        <w:t>
      4) внешнее транзитное управление активами – тип управления, при котором активы передаются на срок до 6 (шести) месяцев внешнему транзитному управляющему с целью минимизации рисков в связи с изменениями в структуре передаваемых активов;</w:t>
      </w:r>
    </w:p>
    <w:bookmarkEnd w:id="12"/>
    <w:bookmarkStart w:name="z16" w:id="13"/>
    <w:p>
      <w:pPr>
        <w:spacing w:after="0"/>
        <w:ind w:left="0"/>
        <w:jc w:val="both"/>
      </w:pPr>
      <w:r>
        <w:rPr>
          <w:rFonts w:ascii="Times New Roman"/>
          <w:b w:val="false"/>
          <w:i w:val="false"/>
          <w:color w:val="000000"/>
          <w:sz w:val="28"/>
        </w:rPr>
        <w:t>
      5) информационный коэффициент (information ratio) – отношение уровня сверхдоходности к изменчивости отклонения доходности (tracking error);</w:t>
      </w:r>
    </w:p>
    <w:bookmarkEnd w:id="13"/>
    <w:bookmarkStart w:name="z17" w:id="14"/>
    <w:p>
      <w:pPr>
        <w:spacing w:after="0"/>
        <w:ind w:left="0"/>
        <w:jc w:val="both"/>
      </w:pPr>
      <w:r>
        <w:rPr>
          <w:rFonts w:ascii="Times New Roman"/>
          <w:b w:val="false"/>
          <w:i w:val="false"/>
          <w:color w:val="000000"/>
          <w:sz w:val="28"/>
        </w:rPr>
        <w:t>
      6) глобальный мандат – портфель, инвестиции которого выходят за рамки одной страны (рынка, региона);</w:t>
      </w:r>
    </w:p>
    <w:bookmarkEnd w:id="14"/>
    <w:bookmarkStart w:name="z18" w:id="15"/>
    <w:p>
      <w:pPr>
        <w:spacing w:after="0"/>
        <w:ind w:left="0"/>
        <w:jc w:val="both"/>
      </w:pPr>
      <w:r>
        <w:rPr>
          <w:rFonts w:ascii="Times New Roman"/>
          <w:b w:val="false"/>
          <w:i w:val="false"/>
          <w:color w:val="000000"/>
          <w:sz w:val="28"/>
        </w:rPr>
        <w:t>
      7) диверсификация – размещение активов в финансовые инструменты и иное имущество с целью снижения риска уменьшения их стоимости;</w:t>
      </w:r>
    </w:p>
    <w:bookmarkEnd w:id="15"/>
    <w:bookmarkStart w:name="z19" w:id="16"/>
    <w:p>
      <w:pPr>
        <w:spacing w:after="0"/>
        <w:ind w:left="0"/>
        <w:jc w:val="both"/>
      </w:pPr>
      <w:r>
        <w:rPr>
          <w:rFonts w:ascii="Times New Roman"/>
          <w:b w:val="false"/>
          <w:i w:val="false"/>
          <w:color w:val="000000"/>
          <w:sz w:val="28"/>
        </w:rPr>
        <w:t>
      8) корреляция – статистическая взаимосвязь двух или более величин. Корреляция является положительной, если при увеличении (уменьшении) одной величины значение второго показателя увеличивается (уменьшается). Корреляция является отрицательной, если при увеличении(уменьшении) одной величины значение второго показателя уменьшается (увеличивается);</w:t>
      </w:r>
    </w:p>
    <w:bookmarkEnd w:id="16"/>
    <w:bookmarkStart w:name="z20" w:id="17"/>
    <w:p>
      <w:pPr>
        <w:spacing w:after="0"/>
        <w:ind w:left="0"/>
        <w:jc w:val="both"/>
      </w:pPr>
      <w:r>
        <w:rPr>
          <w:rFonts w:ascii="Times New Roman"/>
          <w:b w:val="false"/>
          <w:i w:val="false"/>
          <w:color w:val="000000"/>
          <w:sz w:val="28"/>
        </w:rPr>
        <w:t>
      9) альтернативные инструменты – инвестиционные продукты, отличающиеся от финансовых инструментов (акций, облигаций и инструментов денежного рынка) высокими показателями доходности, рисков и низкой ликвидностью;</w:t>
      </w:r>
    </w:p>
    <w:bookmarkEnd w:id="17"/>
    <w:bookmarkStart w:name="z21" w:id="18"/>
    <w:p>
      <w:pPr>
        <w:spacing w:after="0"/>
        <w:ind w:left="0"/>
        <w:jc w:val="both"/>
      </w:pPr>
      <w:r>
        <w:rPr>
          <w:rFonts w:ascii="Times New Roman"/>
          <w:b w:val="false"/>
          <w:i w:val="false"/>
          <w:color w:val="000000"/>
          <w:sz w:val="28"/>
        </w:rPr>
        <w:t>
      10) межбанковский рынок – совокупность отношений, возникающих при осуществлении операций по покупке и(или) продаже иностранной валюты, ценных бумаг, платежных документов в иностранных валютах на неорганизованном рынке;</w:t>
      </w:r>
    </w:p>
    <w:bookmarkEnd w:id="18"/>
    <w:bookmarkStart w:name="z22" w:id="19"/>
    <w:p>
      <w:pPr>
        <w:spacing w:after="0"/>
        <w:ind w:left="0"/>
        <w:jc w:val="both"/>
      </w:pPr>
      <w:r>
        <w:rPr>
          <w:rFonts w:ascii="Times New Roman"/>
          <w:b w:val="false"/>
          <w:i w:val="false"/>
          <w:color w:val="000000"/>
          <w:sz w:val="28"/>
        </w:rPr>
        <w:t>
      11) головная организация – компания, владеющая контрольным пакетом акций дочерних организаций;</w:t>
      </w:r>
    </w:p>
    <w:bookmarkEnd w:id="19"/>
    <w:bookmarkStart w:name="z23" w:id="20"/>
    <w:p>
      <w:pPr>
        <w:spacing w:after="0"/>
        <w:ind w:left="0"/>
        <w:jc w:val="both"/>
      </w:pPr>
      <w:r>
        <w:rPr>
          <w:rFonts w:ascii="Times New Roman"/>
          <w:b w:val="false"/>
          <w:i w:val="false"/>
          <w:color w:val="000000"/>
          <w:sz w:val="28"/>
        </w:rPr>
        <w:t>
      12) биржевой рынок – совокупность отношений с использованием торговых систем организатора торгов, который осуществляет организационное и техническое обеспечение торгов, путем их непосредственного проведения;</w:t>
      </w:r>
    </w:p>
    <w:bookmarkEnd w:id="20"/>
    <w:bookmarkStart w:name="z24" w:id="21"/>
    <w:p>
      <w:pPr>
        <w:spacing w:after="0"/>
        <w:ind w:left="0"/>
        <w:jc w:val="both"/>
      </w:pPr>
      <w:r>
        <w:rPr>
          <w:rFonts w:ascii="Times New Roman"/>
          <w:b w:val="false"/>
          <w:i w:val="false"/>
          <w:color w:val="000000"/>
          <w:sz w:val="28"/>
        </w:rPr>
        <w:t>
      13) институциональный инвестор – юридическое лицо, осуществляющее инвестирование денег в финансовые инструменты;</w:t>
      </w:r>
    </w:p>
    <w:bookmarkEnd w:id="21"/>
    <w:bookmarkStart w:name="z25" w:id="22"/>
    <w:p>
      <w:pPr>
        <w:spacing w:after="0"/>
        <w:ind w:left="0"/>
        <w:jc w:val="both"/>
      </w:pPr>
      <w:r>
        <w:rPr>
          <w:rFonts w:ascii="Times New Roman"/>
          <w:b w:val="false"/>
          <w:i w:val="false"/>
          <w:color w:val="000000"/>
          <w:sz w:val="28"/>
        </w:rPr>
        <w:t>
      14) комиссионное вознаграждение – вознаграждение, выплачиваемое за услуги по управлению активами;</w:t>
      </w:r>
    </w:p>
    <w:bookmarkEnd w:id="22"/>
    <w:bookmarkStart w:name="z26" w:id="23"/>
    <w:p>
      <w:pPr>
        <w:spacing w:after="0"/>
        <w:ind w:left="0"/>
        <w:jc w:val="both"/>
      </w:pPr>
      <w:r>
        <w:rPr>
          <w:rFonts w:ascii="Times New Roman"/>
          <w:b w:val="false"/>
          <w:i w:val="false"/>
          <w:color w:val="000000"/>
          <w:sz w:val="28"/>
        </w:rPr>
        <w:t>
      15) активы на консультационном обслуживании – активы, находящиеся в управлении у внешнего управляющего, по которым внешний управляющий консультирует клиента в части инвестиционного управления активами клиента;</w:t>
      </w:r>
    </w:p>
    <w:bookmarkEnd w:id="23"/>
    <w:bookmarkStart w:name="z27" w:id="24"/>
    <w:p>
      <w:pPr>
        <w:spacing w:after="0"/>
        <w:ind w:left="0"/>
        <w:jc w:val="both"/>
      </w:pPr>
      <w:r>
        <w:rPr>
          <w:rFonts w:ascii="Times New Roman"/>
          <w:b w:val="false"/>
          <w:i w:val="false"/>
          <w:color w:val="000000"/>
          <w:sz w:val="28"/>
        </w:rPr>
        <w:t>
      16) изменчивость отклонения доходности (tracking error) – разница между доходностью эталонного портфеля и доходностью портфеля;</w:t>
      </w:r>
    </w:p>
    <w:bookmarkEnd w:id="24"/>
    <w:bookmarkStart w:name="z28" w:id="25"/>
    <w:p>
      <w:pPr>
        <w:spacing w:after="0"/>
        <w:ind w:left="0"/>
        <w:jc w:val="both"/>
      </w:pPr>
      <w:r>
        <w:rPr>
          <w:rFonts w:ascii="Times New Roman"/>
          <w:b w:val="false"/>
          <w:i w:val="false"/>
          <w:color w:val="000000"/>
          <w:sz w:val="28"/>
        </w:rPr>
        <w:t xml:space="preserve">
      17) специализированный мандат – мандат, передаваемый во внешнее управление с целью диверсификации по типам мандатов и отрицательной корреляции между доходностью внешних управляющих; </w:t>
      </w:r>
    </w:p>
    <w:bookmarkEnd w:id="25"/>
    <w:bookmarkStart w:name="z29" w:id="26"/>
    <w:p>
      <w:pPr>
        <w:spacing w:after="0"/>
        <w:ind w:left="0"/>
        <w:jc w:val="both"/>
      </w:pPr>
      <w:r>
        <w:rPr>
          <w:rFonts w:ascii="Times New Roman"/>
          <w:b w:val="false"/>
          <w:i w:val="false"/>
          <w:color w:val="000000"/>
          <w:sz w:val="28"/>
        </w:rPr>
        <w:t>
      18) мандат – портфель, имеющий определенные инвестиционные характеристики;</w:t>
      </w:r>
    </w:p>
    <w:bookmarkEnd w:id="26"/>
    <w:bookmarkStart w:name="z30" w:id="27"/>
    <w:p>
      <w:pPr>
        <w:spacing w:after="0"/>
        <w:ind w:left="0"/>
        <w:jc w:val="both"/>
      </w:pPr>
      <w:r>
        <w:rPr>
          <w:rFonts w:ascii="Times New Roman"/>
          <w:b w:val="false"/>
          <w:i w:val="false"/>
          <w:color w:val="000000"/>
          <w:sz w:val="28"/>
        </w:rPr>
        <w:t>
      19) маржевой счет – текущий счет для проведения операций с производными финансовыми инструментами, открываемый в клиринговой организации и используемый в целях учета обеспечения по сделкам и проведения расчетов по операциям с производными финансовыми инструментами;</w:t>
      </w:r>
    </w:p>
    <w:bookmarkEnd w:id="27"/>
    <w:bookmarkStart w:name="z31" w:id="28"/>
    <w:p>
      <w:pPr>
        <w:spacing w:after="0"/>
        <w:ind w:left="0"/>
        <w:jc w:val="both"/>
      </w:pPr>
      <w:r>
        <w:rPr>
          <w:rFonts w:ascii="Times New Roman"/>
          <w:b w:val="false"/>
          <w:i w:val="false"/>
          <w:color w:val="000000"/>
          <w:sz w:val="28"/>
        </w:rPr>
        <w:t>
      20) Полномочный представитель – специальное должностное лицо (на уровне не ниже заместителя Председателя Национального Банка Республики Казахстан (далее – Национальный Банк), определяемое решением Правления Национального Банка, в полномочия которого входит оперативное принятие решений по доверительному управлению активами Фонда от имени Национального Банка;</w:t>
      </w:r>
    </w:p>
    <w:bookmarkEnd w:id="28"/>
    <w:bookmarkStart w:name="z32" w:id="29"/>
    <w:p>
      <w:pPr>
        <w:spacing w:after="0"/>
        <w:ind w:left="0"/>
        <w:jc w:val="both"/>
      </w:pPr>
      <w:r>
        <w:rPr>
          <w:rFonts w:ascii="Times New Roman"/>
          <w:b w:val="false"/>
          <w:i w:val="false"/>
          <w:color w:val="000000"/>
          <w:sz w:val="28"/>
        </w:rPr>
        <w:t>
      21) портфель – набор финансовых инструментов, в том числе наличная валюта;</w:t>
      </w:r>
    </w:p>
    <w:bookmarkEnd w:id="29"/>
    <w:bookmarkStart w:name="z33" w:id="30"/>
    <w:p>
      <w:pPr>
        <w:spacing w:after="0"/>
        <w:ind w:left="0"/>
        <w:jc w:val="both"/>
      </w:pPr>
      <w:r>
        <w:rPr>
          <w:rFonts w:ascii="Times New Roman"/>
          <w:b w:val="false"/>
          <w:i w:val="false"/>
          <w:color w:val="000000"/>
          <w:sz w:val="28"/>
        </w:rPr>
        <w:t>
      22) портфельный менеджер – лицо, отвечающее за управление активами клиентов;</w:t>
      </w:r>
    </w:p>
    <w:bookmarkEnd w:id="30"/>
    <w:bookmarkStart w:name="z34" w:id="31"/>
    <w:p>
      <w:pPr>
        <w:spacing w:after="0"/>
        <w:ind w:left="0"/>
        <w:jc w:val="both"/>
      </w:pPr>
      <w:r>
        <w:rPr>
          <w:rFonts w:ascii="Times New Roman"/>
          <w:b w:val="false"/>
          <w:i w:val="false"/>
          <w:color w:val="000000"/>
          <w:sz w:val="28"/>
        </w:rPr>
        <w:t>
      23) внешнее управление – тип управления активами, при котором активы клиента передаются в доверительное управление банку-нерезиденту Республики Казахстан или организации, специализирующемуся (специализирующейся) на доверительном управлении активами клиентов и осуществляющему (осуществляющей) деятельность на международных финансовых рынках;</w:t>
      </w:r>
    </w:p>
    <w:bookmarkEnd w:id="31"/>
    <w:bookmarkStart w:name="z35" w:id="32"/>
    <w:p>
      <w:pPr>
        <w:spacing w:after="0"/>
        <w:ind w:left="0"/>
        <w:jc w:val="both"/>
      </w:pPr>
      <w:r>
        <w:rPr>
          <w:rFonts w:ascii="Times New Roman"/>
          <w:b w:val="false"/>
          <w:i w:val="false"/>
          <w:color w:val="000000"/>
          <w:sz w:val="28"/>
        </w:rPr>
        <w:t>
      24) внешний управляющий – банк-нерезидент Республики Казахстан или организация, специализирующийся (специализирующаяся) на доверительном управлении активами клиентов и осуществляющий (осуществляющая) свою деятельность на международных финансовых рынках;</w:t>
      </w:r>
    </w:p>
    <w:bookmarkEnd w:id="32"/>
    <w:bookmarkStart w:name="z36" w:id="33"/>
    <w:p>
      <w:pPr>
        <w:spacing w:after="0"/>
        <w:ind w:left="0"/>
        <w:jc w:val="both"/>
      </w:pPr>
      <w:r>
        <w:rPr>
          <w:rFonts w:ascii="Times New Roman"/>
          <w:b w:val="false"/>
          <w:i w:val="false"/>
          <w:color w:val="000000"/>
          <w:sz w:val="28"/>
        </w:rPr>
        <w:t>
      25) внешний транзитный управляющий – банк-нерезидент Республики Казахстан или организация, специализирующийся (специализирующаяся) на внешнем транзитном управлении активов клиентов и осуществляющий (осуществляющая) свою деятельность на международных финансовых рынках;</w:t>
      </w:r>
    </w:p>
    <w:bookmarkEnd w:id="33"/>
    <w:bookmarkStart w:name="z37" w:id="34"/>
    <w:p>
      <w:pPr>
        <w:spacing w:after="0"/>
        <w:ind w:left="0"/>
        <w:jc w:val="both"/>
      </w:pPr>
      <w:r>
        <w:rPr>
          <w:rFonts w:ascii="Times New Roman"/>
          <w:b w:val="false"/>
          <w:i w:val="false"/>
          <w:color w:val="000000"/>
          <w:sz w:val="28"/>
        </w:rPr>
        <w:t>
      26) транзитный период – временной период, применяемый к портфелю, устанавливаемый в соответствии с Правилами в целях приведения его в соответствие с параметрами, устанавливаемыми Правилами осуществления инвестиционных операций Фонда;</w:t>
      </w:r>
    </w:p>
    <w:bookmarkEnd w:id="34"/>
    <w:bookmarkStart w:name="z38" w:id="35"/>
    <w:p>
      <w:pPr>
        <w:spacing w:after="0"/>
        <w:ind w:left="0"/>
        <w:jc w:val="both"/>
      </w:pPr>
      <w:r>
        <w:rPr>
          <w:rFonts w:ascii="Times New Roman"/>
          <w:b w:val="false"/>
          <w:i w:val="false"/>
          <w:color w:val="000000"/>
          <w:sz w:val="28"/>
        </w:rPr>
        <w:t>
      27) уполномоченное подразделение – Департамент монетарных операций Национального Банка;</w:t>
      </w:r>
    </w:p>
    <w:bookmarkEnd w:id="35"/>
    <w:bookmarkStart w:name="z39" w:id="36"/>
    <w:p>
      <w:pPr>
        <w:spacing w:after="0"/>
        <w:ind w:left="0"/>
        <w:jc w:val="both"/>
      </w:pPr>
      <w:r>
        <w:rPr>
          <w:rFonts w:ascii="Times New Roman"/>
          <w:b w:val="false"/>
          <w:i w:val="false"/>
          <w:color w:val="000000"/>
          <w:sz w:val="28"/>
        </w:rPr>
        <w:t>
      28) руководство Национального Банка – Председатель Национального Банка, заместитель Председателя Национального Банка, курирующий уполномоченное подразделение;</w:t>
      </w:r>
    </w:p>
    <w:bookmarkEnd w:id="36"/>
    <w:bookmarkStart w:name="z40" w:id="37"/>
    <w:p>
      <w:pPr>
        <w:spacing w:after="0"/>
        <w:ind w:left="0"/>
        <w:jc w:val="both"/>
      </w:pPr>
      <w:r>
        <w:rPr>
          <w:rFonts w:ascii="Times New Roman"/>
          <w:b w:val="false"/>
          <w:i w:val="false"/>
          <w:color w:val="000000"/>
          <w:sz w:val="28"/>
        </w:rPr>
        <w:t>
      29) уровень сверхдоходности – разница между фактически достигнутым уровнем доходности и уровнем доходности эталонного портфеля;</w:t>
      </w:r>
    </w:p>
    <w:bookmarkEnd w:id="37"/>
    <w:bookmarkStart w:name="z41" w:id="38"/>
    <w:p>
      <w:pPr>
        <w:spacing w:after="0"/>
        <w:ind w:left="0"/>
        <w:jc w:val="both"/>
      </w:pPr>
      <w:r>
        <w:rPr>
          <w:rFonts w:ascii="Times New Roman"/>
          <w:b w:val="false"/>
          <w:i w:val="false"/>
          <w:color w:val="000000"/>
          <w:sz w:val="28"/>
        </w:rPr>
        <w:t>
      30) форексные операции – покупка или продажа валюты на биржевом и межбанковском рынке;</w:t>
      </w:r>
    </w:p>
    <w:bookmarkEnd w:id="38"/>
    <w:bookmarkStart w:name="z42" w:id="39"/>
    <w:p>
      <w:pPr>
        <w:spacing w:after="0"/>
        <w:ind w:left="0"/>
        <w:jc w:val="both"/>
      </w:pPr>
      <w:r>
        <w:rPr>
          <w:rFonts w:ascii="Times New Roman"/>
          <w:b w:val="false"/>
          <w:i w:val="false"/>
          <w:color w:val="000000"/>
          <w:sz w:val="28"/>
        </w:rPr>
        <w:t>
      31) эталонный портфель – набор инструментов, отражающий стратегические интересы инвестора. Доходность эталонного портфеля служит мерой при оценке доходности управления активами.</w:t>
      </w:r>
    </w:p>
    <w:bookmarkEnd w:id="39"/>
    <w:bookmarkStart w:name="z43" w:id="40"/>
    <w:p>
      <w:pPr>
        <w:spacing w:after="0"/>
        <w:ind w:left="0"/>
        <w:jc w:val="both"/>
      </w:pPr>
      <w:r>
        <w:rPr>
          <w:rFonts w:ascii="Times New Roman"/>
          <w:b w:val="false"/>
          <w:i w:val="false"/>
          <w:color w:val="000000"/>
          <w:sz w:val="28"/>
        </w:rPr>
        <w:t>
      3. Активы Фонда передаются во внешнее управление в целях:</w:t>
      </w:r>
    </w:p>
    <w:bookmarkEnd w:id="40"/>
    <w:p>
      <w:pPr>
        <w:spacing w:after="0"/>
        <w:ind w:left="0"/>
        <w:jc w:val="both"/>
      </w:pPr>
      <w:r>
        <w:rPr>
          <w:rFonts w:ascii="Times New Roman"/>
          <w:b w:val="false"/>
          <w:i w:val="false"/>
          <w:color w:val="000000"/>
          <w:sz w:val="28"/>
        </w:rPr>
        <w:t>
      1) снижения уровня рисков, связанных с типом управления, вследствие диверсификации;</w:t>
      </w:r>
    </w:p>
    <w:p>
      <w:pPr>
        <w:spacing w:after="0"/>
        <w:ind w:left="0"/>
        <w:jc w:val="both"/>
      </w:pPr>
      <w:r>
        <w:rPr>
          <w:rFonts w:ascii="Times New Roman"/>
          <w:b w:val="false"/>
          <w:i w:val="false"/>
          <w:color w:val="000000"/>
          <w:sz w:val="28"/>
        </w:rPr>
        <w:t>
      2) увеличения доходности управления активами Фонда благодаря использованию опыта, аналитических материалов, исследований и технических ресурсов внешнего управляющего;</w:t>
      </w:r>
    </w:p>
    <w:p>
      <w:pPr>
        <w:spacing w:after="0"/>
        <w:ind w:left="0"/>
        <w:jc w:val="both"/>
      </w:pPr>
      <w:r>
        <w:rPr>
          <w:rFonts w:ascii="Times New Roman"/>
          <w:b w:val="false"/>
          <w:i w:val="false"/>
          <w:color w:val="000000"/>
          <w:sz w:val="28"/>
        </w:rPr>
        <w:t>
      3) получения экспертизы и консультаций в области управления активами, обучения персонала;</w:t>
      </w:r>
    </w:p>
    <w:p>
      <w:pPr>
        <w:spacing w:after="0"/>
        <w:ind w:left="0"/>
        <w:jc w:val="both"/>
      </w:pPr>
      <w:r>
        <w:rPr>
          <w:rFonts w:ascii="Times New Roman"/>
          <w:b w:val="false"/>
          <w:i w:val="false"/>
          <w:color w:val="000000"/>
          <w:sz w:val="28"/>
        </w:rPr>
        <w:t>
      4) возможности внедрения новых классов активов, по которым отсутствует опыт в самостоятельном управлении активами;</w:t>
      </w:r>
    </w:p>
    <w:p>
      <w:pPr>
        <w:spacing w:after="0"/>
        <w:ind w:left="0"/>
        <w:jc w:val="both"/>
      </w:pPr>
      <w:r>
        <w:rPr>
          <w:rFonts w:ascii="Times New Roman"/>
          <w:b w:val="false"/>
          <w:i w:val="false"/>
          <w:color w:val="000000"/>
          <w:sz w:val="28"/>
        </w:rPr>
        <w:t>
      5) поддержания количества внешних управляющих, которое соответствует объемам внешнего управления, установленным Правилами осуществления инвестиционных операций Фонда.</w:t>
      </w:r>
    </w:p>
    <w:bookmarkStart w:name="z44" w:id="41"/>
    <w:p>
      <w:pPr>
        <w:spacing w:after="0"/>
        <w:ind w:left="0"/>
        <w:jc w:val="both"/>
      </w:pPr>
      <w:r>
        <w:rPr>
          <w:rFonts w:ascii="Times New Roman"/>
          <w:b w:val="false"/>
          <w:i w:val="false"/>
          <w:color w:val="000000"/>
          <w:sz w:val="28"/>
        </w:rPr>
        <w:t>
      4. Общий допустимый объем активов Фонда, передаваемых во внешнее управление одному внешнему управляющему, составляет не более 10 (десяти) процентов сберегательного портфеля Фонда. При нарушении данного ограничения уполномоченное подразделение устраняет несоответствие в течение 1 (одного) квартала со дня возникновения.</w:t>
      </w:r>
    </w:p>
    <w:bookmarkEnd w:id="41"/>
    <w:bookmarkStart w:name="z45" w:id="42"/>
    <w:p>
      <w:pPr>
        <w:spacing w:after="0"/>
        <w:ind w:left="0"/>
        <w:jc w:val="both"/>
      </w:pPr>
      <w:r>
        <w:rPr>
          <w:rFonts w:ascii="Times New Roman"/>
          <w:b w:val="false"/>
          <w:i w:val="false"/>
          <w:color w:val="000000"/>
          <w:sz w:val="28"/>
        </w:rPr>
        <w:t xml:space="preserve">
      5. Выбор типа управления (активного или пассивного) и эталонного портфеля для внешнего управляющего осуществляется в соответствии с целями управления активами Фонда и ограничениями, предусмотренными Правилами осуществления инвестиционных операций Фонда, в зависимости от ситуации на рынке. </w:t>
      </w:r>
    </w:p>
    <w:bookmarkEnd w:id="42"/>
    <w:bookmarkStart w:name="z46" w:id="43"/>
    <w:p>
      <w:pPr>
        <w:spacing w:after="0"/>
        <w:ind w:left="0"/>
        <w:jc w:val="both"/>
      </w:pPr>
      <w:r>
        <w:rPr>
          <w:rFonts w:ascii="Times New Roman"/>
          <w:b w:val="false"/>
          <w:i w:val="false"/>
          <w:color w:val="000000"/>
          <w:sz w:val="28"/>
        </w:rPr>
        <w:t xml:space="preserve">
      6. Внешнему управляющему или внешнему транзитному управляющему выплачивается фиксированное комиссионное вознаграждение и(или) комиссионное вознаграждение, зависящее от результатов управления,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передаче активов Фонда во внешнее управление или </w:t>
      </w:r>
      <w:r>
        <w:rPr>
          <w:rFonts w:ascii="Times New Roman"/>
          <w:b w:val="false"/>
          <w:i w:val="false"/>
          <w:color w:val="000000"/>
          <w:sz w:val="28"/>
        </w:rPr>
        <w:t>соглашением</w:t>
      </w:r>
      <w:r>
        <w:rPr>
          <w:rFonts w:ascii="Times New Roman"/>
          <w:b w:val="false"/>
          <w:i w:val="false"/>
          <w:color w:val="000000"/>
          <w:sz w:val="28"/>
        </w:rPr>
        <w:t xml:space="preserve"> о передаче активов Фонда во внешнее транзитное управление.</w:t>
      </w:r>
    </w:p>
    <w:bookmarkEnd w:id="43"/>
    <w:bookmarkStart w:name="z47" w:id="44"/>
    <w:p>
      <w:pPr>
        <w:spacing w:after="0"/>
        <w:ind w:left="0"/>
        <w:jc w:val="left"/>
      </w:pPr>
      <w:r>
        <w:rPr>
          <w:rFonts w:ascii="Times New Roman"/>
          <w:b/>
          <w:i w:val="false"/>
          <w:color w:val="000000"/>
        </w:rPr>
        <w:t xml:space="preserve"> Глава 2. Принятие решения и передача активов Фонда во внешнее</w:t>
      </w:r>
      <w:r>
        <w:br/>
      </w:r>
      <w:r>
        <w:rPr>
          <w:rFonts w:ascii="Times New Roman"/>
          <w:b/>
          <w:i w:val="false"/>
          <w:color w:val="000000"/>
        </w:rPr>
        <w:t>управление или внешнее транзитное управление</w:t>
      </w:r>
    </w:p>
    <w:bookmarkEnd w:id="44"/>
    <w:bookmarkStart w:name="z48" w:id="45"/>
    <w:p>
      <w:pPr>
        <w:spacing w:after="0"/>
        <w:ind w:left="0"/>
        <w:jc w:val="both"/>
      </w:pPr>
      <w:r>
        <w:rPr>
          <w:rFonts w:ascii="Times New Roman"/>
          <w:b w:val="false"/>
          <w:i w:val="false"/>
          <w:color w:val="000000"/>
          <w:sz w:val="28"/>
        </w:rPr>
        <w:t xml:space="preserve">
      7. Уполномоченное подразделение публикует на официальном интернет-ресурсе Национального Банка информацию о предстоящем проведении тендера по выбору внешнего управляющего, составляет список потенциальных внешних управляющих, рассылает информацию потенциальным внешним управляющим, которая содержит следующее: </w:t>
      </w:r>
    </w:p>
    <w:bookmarkEnd w:id="45"/>
    <w:p>
      <w:pPr>
        <w:spacing w:after="0"/>
        <w:ind w:left="0"/>
        <w:jc w:val="both"/>
      </w:pPr>
      <w:r>
        <w:rPr>
          <w:rFonts w:ascii="Times New Roman"/>
          <w:b w:val="false"/>
          <w:i w:val="false"/>
          <w:color w:val="000000"/>
          <w:sz w:val="28"/>
        </w:rPr>
        <w:t>
      1) описание типа мандата и его характеристик (эталонный портфель, цели управления, инвестиционные ограничения, приблизительный объем мандата);</w:t>
      </w:r>
    </w:p>
    <w:p>
      <w:pPr>
        <w:spacing w:after="0"/>
        <w:ind w:left="0"/>
        <w:jc w:val="both"/>
      </w:pPr>
      <w:r>
        <w:rPr>
          <w:rFonts w:ascii="Times New Roman"/>
          <w:b w:val="false"/>
          <w:i w:val="false"/>
          <w:color w:val="000000"/>
          <w:sz w:val="28"/>
        </w:rPr>
        <w:t xml:space="preserve">
      2) информацию, запрашиваемую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(далее – приложение 1);</w:t>
      </w:r>
    </w:p>
    <w:p>
      <w:pPr>
        <w:spacing w:after="0"/>
        <w:ind w:left="0"/>
        <w:jc w:val="both"/>
      </w:pPr>
      <w:r>
        <w:rPr>
          <w:rFonts w:ascii="Times New Roman"/>
          <w:b w:val="false"/>
          <w:i w:val="false"/>
          <w:color w:val="000000"/>
          <w:sz w:val="28"/>
        </w:rPr>
        <w:t>
      3) требования к потенциальным внешним управляющим;</w:t>
      </w:r>
    </w:p>
    <w:p>
      <w:pPr>
        <w:spacing w:after="0"/>
        <w:ind w:left="0"/>
        <w:jc w:val="both"/>
      </w:pPr>
      <w:r>
        <w:rPr>
          <w:rFonts w:ascii="Times New Roman"/>
          <w:b w:val="false"/>
          <w:i w:val="false"/>
          <w:color w:val="000000"/>
          <w:sz w:val="28"/>
        </w:rPr>
        <w:t xml:space="preserve">
      4) срок представления в Национальный Банк информации, запрашиваемой у внешнего управляющего; </w:t>
      </w:r>
    </w:p>
    <w:p>
      <w:pPr>
        <w:spacing w:after="0"/>
        <w:ind w:left="0"/>
        <w:jc w:val="both"/>
      </w:pPr>
      <w:r>
        <w:rPr>
          <w:rFonts w:ascii="Times New Roman"/>
          <w:b w:val="false"/>
          <w:i w:val="false"/>
          <w:color w:val="000000"/>
          <w:sz w:val="28"/>
        </w:rPr>
        <w:t>
      5) сведения о должностных лицах Национального Банка, ответственных за проведение тендера;</w:t>
      </w:r>
    </w:p>
    <w:p>
      <w:pPr>
        <w:spacing w:after="0"/>
        <w:ind w:left="0"/>
        <w:jc w:val="both"/>
      </w:pPr>
      <w:r>
        <w:rPr>
          <w:rFonts w:ascii="Times New Roman"/>
          <w:b w:val="false"/>
          <w:i w:val="false"/>
          <w:color w:val="000000"/>
          <w:sz w:val="28"/>
        </w:rPr>
        <w:t xml:space="preserve">
      6) условия, предусмотренные </w:t>
      </w:r>
      <w:r>
        <w:rPr>
          <w:rFonts w:ascii="Times New Roman"/>
          <w:b w:val="false"/>
          <w:i w:val="false"/>
          <w:color w:val="000000"/>
          <w:sz w:val="28"/>
        </w:rPr>
        <w:t>пунктом 22</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Обязательным условием рассмотрения предложения внешнего управляющего является его письменное подтверждение о включении условий,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Правил, в соглашение о передаче активов Фонда во внешнее управление.</w:t>
      </w:r>
    </w:p>
    <w:bookmarkStart w:name="z49" w:id="46"/>
    <w:p>
      <w:pPr>
        <w:spacing w:after="0"/>
        <w:ind w:left="0"/>
        <w:jc w:val="both"/>
      </w:pPr>
      <w:r>
        <w:rPr>
          <w:rFonts w:ascii="Times New Roman"/>
          <w:b w:val="false"/>
          <w:i w:val="false"/>
          <w:color w:val="000000"/>
          <w:sz w:val="28"/>
        </w:rPr>
        <w:t xml:space="preserve">
      8. Тендер по выбору внешнего управляющего проводится уполномоченным подразделением. </w:t>
      </w:r>
    </w:p>
    <w:bookmarkEnd w:id="46"/>
    <w:bookmarkStart w:name="z50" w:id="47"/>
    <w:p>
      <w:pPr>
        <w:spacing w:after="0"/>
        <w:ind w:left="0"/>
        <w:jc w:val="both"/>
      </w:pPr>
      <w:r>
        <w:rPr>
          <w:rFonts w:ascii="Times New Roman"/>
          <w:b w:val="false"/>
          <w:i w:val="false"/>
          <w:color w:val="000000"/>
          <w:sz w:val="28"/>
        </w:rPr>
        <w:t xml:space="preserve">
      9. Потенциальные внешние управляющие представляют в Национальный Банк в электронном виде и(или) на бумажном носителе информацию, запрашиваемую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w:t>
      </w:r>
    </w:p>
    <w:bookmarkEnd w:id="47"/>
    <w:bookmarkStart w:name="z51" w:id="48"/>
    <w:p>
      <w:pPr>
        <w:spacing w:after="0"/>
        <w:ind w:left="0"/>
        <w:jc w:val="both"/>
      </w:pPr>
      <w:r>
        <w:rPr>
          <w:rFonts w:ascii="Times New Roman"/>
          <w:b w:val="false"/>
          <w:i w:val="false"/>
          <w:color w:val="000000"/>
          <w:sz w:val="28"/>
        </w:rPr>
        <w:t xml:space="preserve">
      10. Уполномоченное подразделение проводит сравнительный анализ всех поступивших предложений внешних управляющих, с учетом обязательных критериев,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и(или) </w:t>
      </w:r>
      <w:r>
        <w:rPr>
          <w:rFonts w:ascii="Times New Roman"/>
          <w:b w:val="false"/>
          <w:i w:val="false"/>
          <w:color w:val="000000"/>
          <w:sz w:val="28"/>
        </w:rPr>
        <w:t>12</w:t>
      </w:r>
      <w:r>
        <w:rPr>
          <w:rFonts w:ascii="Times New Roman"/>
          <w:b w:val="false"/>
          <w:i w:val="false"/>
          <w:color w:val="000000"/>
          <w:sz w:val="28"/>
        </w:rPr>
        <w:t xml:space="preserve"> Правил.</w:t>
      </w:r>
    </w:p>
    <w:bookmarkEnd w:id="48"/>
    <w:p>
      <w:pPr>
        <w:spacing w:after="0"/>
        <w:ind w:left="0"/>
        <w:jc w:val="both"/>
      </w:pPr>
      <w:r>
        <w:rPr>
          <w:rFonts w:ascii="Times New Roman"/>
          <w:b w:val="false"/>
          <w:i w:val="false"/>
          <w:color w:val="000000"/>
          <w:sz w:val="28"/>
        </w:rPr>
        <w:t xml:space="preserve">
      Если внешний управляющий удовлетворяет обязательным критериям, предусмотренным </w:t>
      </w:r>
      <w:r>
        <w:rPr>
          <w:rFonts w:ascii="Times New Roman"/>
          <w:b w:val="false"/>
          <w:i w:val="false"/>
          <w:color w:val="000000"/>
          <w:sz w:val="28"/>
        </w:rPr>
        <w:t>пунктами 11</w:t>
      </w:r>
      <w:r>
        <w:rPr>
          <w:rFonts w:ascii="Times New Roman"/>
          <w:b w:val="false"/>
          <w:i w:val="false"/>
          <w:color w:val="000000"/>
          <w:sz w:val="28"/>
        </w:rPr>
        <w:t xml:space="preserve"> и(или) </w:t>
      </w:r>
      <w:r>
        <w:rPr>
          <w:rFonts w:ascii="Times New Roman"/>
          <w:b w:val="false"/>
          <w:i w:val="false"/>
          <w:color w:val="000000"/>
          <w:sz w:val="28"/>
        </w:rPr>
        <w:t>12</w:t>
      </w:r>
      <w:r>
        <w:rPr>
          <w:rFonts w:ascii="Times New Roman"/>
          <w:b w:val="false"/>
          <w:i w:val="false"/>
          <w:color w:val="000000"/>
          <w:sz w:val="28"/>
        </w:rPr>
        <w:t xml:space="preserve"> Правил, уполномоченное подразделение проводит дальнейшее рассмотрение предложения и сравнительный анализ согласно оценочным критериям. Оценочные критерии для сравнительного анализа предложений внешних управляющих предусмотрены в </w:t>
      </w:r>
      <w:r>
        <w:rPr>
          <w:rFonts w:ascii="Times New Roman"/>
          <w:b w:val="false"/>
          <w:i w:val="false"/>
          <w:color w:val="000000"/>
          <w:sz w:val="28"/>
        </w:rPr>
        <w:t>приложении 2</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xml:space="preserve">
      Оценка предложения внешнего управляющего определяется на основании оценки предложения внешнего управляющего в соответствии с таблицей оценочных критериев, предусмотренной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анализе предложений участников тендера допускается использование собственных данных Национального Банка по действующим внешним управляющим активами Фонда и золотовалютными активами Национального Банка.</w:t>
      </w:r>
    </w:p>
    <w:bookmarkStart w:name="z52" w:id="49"/>
    <w:p>
      <w:pPr>
        <w:spacing w:after="0"/>
        <w:ind w:left="0"/>
        <w:jc w:val="both"/>
      </w:pPr>
      <w:r>
        <w:rPr>
          <w:rFonts w:ascii="Times New Roman"/>
          <w:b w:val="false"/>
          <w:i w:val="false"/>
          <w:color w:val="000000"/>
          <w:sz w:val="28"/>
        </w:rPr>
        <w:t>
      11. Обязательными критериями для мандатов, в которых объем передаваемых активов одному внешнему управляющему превышает эквивалент 300 (трехсот) миллионов долларов США, являются следующие:</w:t>
      </w:r>
    </w:p>
    <w:bookmarkEnd w:id="49"/>
    <w:p>
      <w:pPr>
        <w:spacing w:after="0"/>
        <w:ind w:left="0"/>
        <w:jc w:val="both"/>
      </w:pPr>
      <w:r>
        <w:rPr>
          <w:rFonts w:ascii="Times New Roman"/>
          <w:b w:val="false"/>
          <w:i w:val="false"/>
          <w:color w:val="000000"/>
          <w:sz w:val="28"/>
        </w:rPr>
        <w:t>
      1) опыт работы с финансовыми инструментами, в которые предполагается инвестировать активы Фонда:</w:t>
      </w:r>
    </w:p>
    <w:p>
      <w:pPr>
        <w:spacing w:after="0"/>
        <w:ind w:left="0"/>
        <w:jc w:val="both"/>
      </w:pPr>
      <w:r>
        <w:rPr>
          <w:rFonts w:ascii="Times New Roman"/>
          <w:b w:val="false"/>
          <w:i w:val="false"/>
          <w:color w:val="000000"/>
          <w:sz w:val="28"/>
        </w:rPr>
        <w:t>
      не менее 10 (десяти) лет опыта работы, из которых не менее 5 (пяти) лет опыта работы по объявленному типу мандата;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5 (пяти) лет опыта работы по региональным мандатам, которые составляют не менее 75 (семидесяти пяти) процентов охвата глобального мандата;</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активы на консультационном обслуживании) не менее эквивалента 25 (двадцати пяти) миллиардов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w:t>
      </w:r>
    </w:p>
    <w:p>
      <w:pPr>
        <w:spacing w:after="0"/>
        <w:ind w:left="0"/>
        <w:jc w:val="both"/>
      </w:pPr>
      <w:r>
        <w:rPr>
          <w:rFonts w:ascii="Times New Roman"/>
          <w:b w:val="false"/>
          <w:i w:val="false"/>
          <w:color w:val="000000"/>
          <w:sz w:val="28"/>
        </w:rPr>
        <w:t>
      внешний управляющий имеет по рассматриваемому типу мандата совокупные активы клиентов не менее эквивалента 1 (одного) миллиарда долларов США;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эквивалента 1 (одного) миллиарда долларов США по региональным мандатам, которые составляют не менее 75 (семидесяти пяти) процентов охвата глобального мандата.</w:t>
      </w:r>
    </w:p>
    <w:bookmarkStart w:name="z53" w:id="50"/>
    <w:p>
      <w:pPr>
        <w:spacing w:after="0"/>
        <w:ind w:left="0"/>
        <w:jc w:val="both"/>
      </w:pPr>
      <w:r>
        <w:rPr>
          <w:rFonts w:ascii="Times New Roman"/>
          <w:b w:val="false"/>
          <w:i w:val="false"/>
          <w:color w:val="000000"/>
          <w:sz w:val="28"/>
        </w:rPr>
        <w:t>
      12. Обязательные критерии для специализированных мандатов, в которых объем передаваемых активов одному внешнему управляющему не превышает эквивалент 300 (трехсот) миллионов долларов США, являются следующие:</w:t>
      </w:r>
    </w:p>
    <w:bookmarkEnd w:id="50"/>
    <w:p>
      <w:pPr>
        <w:spacing w:after="0"/>
        <w:ind w:left="0"/>
        <w:jc w:val="both"/>
      </w:pPr>
      <w:r>
        <w:rPr>
          <w:rFonts w:ascii="Times New Roman"/>
          <w:b w:val="false"/>
          <w:i w:val="false"/>
          <w:color w:val="000000"/>
          <w:sz w:val="28"/>
        </w:rPr>
        <w:t>
      1) опыт работы с финансовыми инструментами, в которые предполагается инвестировать активы Фонда:</w:t>
      </w:r>
    </w:p>
    <w:p>
      <w:pPr>
        <w:spacing w:after="0"/>
        <w:ind w:left="0"/>
        <w:jc w:val="both"/>
      </w:pPr>
      <w:r>
        <w:rPr>
          <w:rFonts w:ascii="Times New Roman"/>
          <w:b w:val="false"/>
          <w:i w:val="false"/>
          <w:color w:val="000000"/>
          <w:sz w:val="28"/>
        </w:rPr>
        <w:t>
      не менее 5 (пяти) лет, из которых не менее 3 (трех) лет опыта работы по объявленному типу мандата;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3 (трех) лет опыта работы по региональным мандатам, которые составляют не менее 75 (семидесяти пяти) процентов охвата глобального мандата;</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активы на консультационном обслуживании)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составляет не менее 1 (одного) миллиарда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150 (ста пятидесяти) миллионов долларов США;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эквивалента 150 (ста пятидесяти) миллионов долларов США по региональным мандатам, которые составляют не менее 75 (семидесяти пяти) процентов охвата глобального мандата.</w:t>
      </w:r>
    </w:p>
    <w:bookmarkStart w:name="z54" w:id="51"/>
    <w:p>
      <w:pPr>
        <w:spacing w:after="0"/>
        <w:ind w:left="0"/>
        <w:jc w:val="both"/>
      </w:pPr>
      <w:r>
        <w:rPr>
          <w:rFonts w:ascii="Times New Roman"/>
          <w:b w:val="false"/>
          <w:i w:val="false"/>
          <w:color w:val="000000"/>
          <w:sz w:val="28"/>
        </w:rPr>
        <w:t xml:space="preserve">
      13. Внешнему управляющему по результатам положительной оценки его управления специализированным мандатом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Правил передаются активы в размере, превышающем 300 (триста) миллионов долларов США, но не более размера общего допустимого лимита активов,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w:t>
      </w:r>
    </w:p>
    <w:bookmarkEnd w:id="51"/>
    <w:bookmarkStart w:name="z55" w:id="52"/>
    <w:p>
      <w:pPr>
        <w:spacing w:after="0"/>
        <w:ind w:left="0"/>
        <w:jc w:val="both"/>
      </w:pPr>
      <w:r>
        <w:rPr>
          <w:rFonts w:ascii="Times New Roman"/>
          <w:b w:val="false"/>
          <w:i w:val="false"/>
          <w:color w:val="000000"/>
          <w:sz w:val="28"/>
        </w:rPr>
        <w:t>
      14. Допускается обращение уполномоченного подразделения к клиентам внешнего управляющего с запросом о результатах и качестве управления активами клиентов.</w:t>
      </w:r>
    </w:p>
    <w:bookmarkEnd w:id="52"/>
    <w:bookmarkStart w:name="z56" w:id="53"/>
    <w:p>
      <w:pPr>
        <w:spacing w:after="0"/>
        <w:ind w:left="0"/>
        <w:jc w:val="both"/>
      </w:pPr>
      <w:r>
        <w:rPr>
          <w:rFonts w:ascii="Times New Roman"/>
          <w:b w:val="false"/>
          <w:i w:val="false"/>
          <w:color w:val="000000"/>
          <w:sz w:val="28"/>
        </w:rPr>
        <w:t xml:space="preserve">
      15. Уполномоченное подразделение осуществляет подготовку заключения по анализу предложений внешних управляющих в течение срока, не превышающего 2 (двух) месяцев со дня представления внешними управляющими информации, запрашиваемой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End w:id="53"/>
    <w:bookmarkStart w:name="z57" w:id="54"/>
    <w:p>
      <w:pPr>
        <w:spacing w:after="0"/>
        <w:ind w:left="0"/>
        <w:jc w:val="both"/>
      </w:pPr>
      <w:r>
        <w:rPr>
          <w:rFonts w:ascii="Times New Roman"/>
          <w:b w:val="false"/>
          <w:i w:val="false"/>
          <w:color w:val="000000"/>
          <w:sz w:val="28"/>
        </w:rPr>
        <w:t>
      16. Подготовленное уполномоченным подразделением заключение, содержащее сравнительный анализ предложений по внешнему управлению и рекомендации по выбору внешнего управляющего, передается на рассмотрение Полномочному представителю или Председателю Национального Банка, который по результатам рассмотрения на основании резолюции к заключению уполномоченного подразделения утверждает наиболее выгодные предложения внешних управляющих (короткий список – short list). Уполномоченное подразделение проводит переговоры с потенциальными внешними управляющими из короткого списка – short list для целей улучшения условий предложения внешнего управляющего.</w:t>
      </w:r>
    </w:p>
    <w:bookmarkEnd w:id="54"/>
    <w:bookmarkStart w:name="z58" w:id="55"/>
    <w:p>
      <w:pPr>
        <w:spacing w:after="0"/>
        <w:ind w:left="0"/>
        <w:jc w:val="both"/>
      </w:pPr>
      <w:r>
        <w:rPr>
          <w:rFonts w:ascii="Times New Roman"/>
          <w:b w:val="false"/>
          <w:i w:val="false"/>
          <w:color w:val="000000"/>
          <w:sz w:val="28"/>
        </w:rPr>
        <w:t>
      17. Для получения дополнительной информации о порядке принятия инвестиционных решений и процедурах контроля за рисками допускается проведение уполномоченным подразделением встреч с потенциальными внешними управляющими.</w:t>
      </w:r>
    </w:p>
    <w:bookmarkEnd w:id="55"/>
    <w:bookmarkStart w:name="z59" w:id="56"/>
    <w:p>
      <w:pPr>
        <w:spacing w:after="0"/>
        <w:ind w:left="0"/>
        <w:jc w:val="both"/>
      </w:pPr>
      <w:r>
        <w:rPr>
          <w:rFonts w:ascii="Times New Roman"/>
          <w:b w:val="false"/>
          <w:i w:val="false"/>
          <w:color w:val="000000"/>
          <w:sz w:val="28"/>
        </w:rPr>
        <w:t>
      18. Внешний управляющий утверждается постановлением Правления Национального Банка либо решением Полномочного представителя, предусматривающим заключение с ним соглашения о передаче активов Фонда во внешнее управление.</w:t>
      </w:r>
    </w:p>
    <w:bookmarkEnd w:id="56"/>
    <w:p>
      <w:pPr>
        <w:spacing w:after="0"/>
        <w:ind w:left="0"/>
        <w:jc w:val="both"/>
      </w:pPr>
      <w:r>
        <w:rPr>
          <w:rFonts w:ascii="Times New Roman"/>
          <w:b w:val="false"/>
          <w:i w:val="false"/>
          <w:color w:val="000000"/>
          <w:sz w:val="28"/>
        </w:rPr>
        <w:t xml:space="preserve">
      Если внешний управляющий, осуществляющий внешнее управление частью золотовалютных активов Национального Банка по аналогичному типу мандата с положительным уровнем сверхдоходности за период не менее трех лет, соответствует критериям, установленным </w:t>
      </w:r>
      <w:r>
        <w:rPr>
          <w:rFonts w:ascii="Times New Roman"/>
          <w:b w:val="false"/>
          <w:i w:val="false"/>
          <w:color w:val="000000"/>
          <w:sz w:val="28"/>
        </w:rPr>
        <w:t>пунктами 11</w:t>
      </w:r>
      <w:r>
        <w:rPr>
          <w:rFonts w:ascii="Times New Roman"/>
          <w:b w:val="false"/>
          <w:i w:val="false"/>
          <w:color w:val="000000"/>
          <w:sz w:val="28"/>
        </w:rPr>
        <w:t xml:space="preserve"> и(или) </w:t>
      </w:r>
      <w:r>
        <w:rPr>
          <w:rFonts w:ascii="Times New Roman"/>
          <w:b w:val="false"/>
          <w:i w:val="false"/>
          <w:color w:val="000000"/>
          <w:sz w:val="28"/>
        </w:rPr>
        <w:t>12</w:t>
      </w:r>
      <w:r>
        <w:rPr>
          <w:rFonts w:ascii="Times New Roman"/>
          <w:b w:val="false"/>
          <w:i w:val="false"/>
          <w:color w:val="000000"/>
          <w:sz w:val="28"/>
        </w:rPr>
        <w:t xml:space="preserve"> Правил, то по решению Председателя Национального Банка либо Полномочного представителя его кандидатура допускается на утверждение без проведения процедур,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Правил.</w:t>
      </w:r>
    </w:p>
    <w:bookmarkStart w:name="z60" w:id="57"/>
    <w:p>
      <w:pPr>
        <w:spacing w:after="0"/>
        <w:ind w:left="0"/>
        <w:jc w:val="both"/>
      </w:pPr>
      <w:r>
        <w:rPr>
          <w:rFonts w:ascii="Times New Roman"/>
          <w:b w:val="false"/>
          <w:i w:val="false"/>
          <w:color w:val="000000"/>
          <w:sz w:val="28"/>
        </w:rPr>
        <w:t>
      19. Уполномоченное подразделение в течение 1 (одного) месяца со дня утверждения Правлением Национального Банка либо Полномочным представителем участника тендера в качестве внешнего управляющего, представляет каждому участнику тендера уведомление об итоге тендера.</w:t>
      </w:r>
    </w:p>
    <w:bookmarkEnd w:id="57"/>
    <w:bookmarkStart w:name="z61" w:id="58"/>
    <w:p>
      <w:pPr>
        <w:spacing w:after="0"/>
        <w:ind w:left="0"/>
        <w:jc w:val="both"/>
      </w:pPr>
      <w:r>
        <w:rPr>
          <w:rFonts w:ascii="Times New Roman"/>
          <w:b w:val="false"/>
          <w:i w:val="false"/>
          <w:color w:val="000000"/>
          <w:sz w:val="28"/>
        </w:rPr>
        <w:t>
      20. При выборе внешнего транзитного управляющего уполномоченное подразделение направляет запросы зарубежным организациям, специализирующимся на оказании услуг транзитного управления. Согласно запросу потенциальный внешний транзитный управляющий представляет информацию по рынкам охвата, стратегиям транзитного управления и стоимости услуг в разрезе классов инструментов и рынков. Внешний транзитный управляющий утверждается на основании резолюции Председателя Национального Банка или Полномочного представителя к служебной записке уполномоченного подразделения с анализом поступивших предложений потенциальных внешних транзитных управляющих.</w:t>
      </w:r>
    </w:p>
    <w:bookmarkEnd w:id="58"/>
    <w:bookmarkStart w:name="z62" w:id="59"/>
    <w:p>
      <w:pPr>
        <w:spacing w:after="0"/>
        <w:ind w:left="0"/>
        <w:jc w:val="both"/>
      </w:pPr>
      <w:r>
        <w:rPr>
          <w:rFonts w:ascii="Times New Roman"/>
          <w:b w:val="false"/>
          <w:i w:val="false"/>
          <w:color w:val="000000"/>
          <w:sz w:val="28"/>
        </w:rPr>
        <w:t xml:space="preserve">
      21. Подготовка, заключение соглашения о передаче активов Фонда во внешнее управление и соглашения о передаче активов Фонда во внешнее транзитное управление и дальнейший мониторинг за выполнением их условий осуществляется уполномоченным подразделением. </w:t>
      </w:r>
    </w:p>
    <w:bookmarkEnd w:id="59"/>
    <w:bookmarkStart w:name="z63" w:id="60"/>
    <w:p>
      <w:pPr>
        <w:spacing w:after="0"/>
        <w:ind w:left="0"/>
        <w:jc w:val="both"/>
      </w:pPr>
      <w:r>
        <w:rPr>
          <w:rFonts w:ascii="Times New Roman"/>
          <w:b w:val="false"/>
          <w:i w:val="false"/>
          <w:color w:val="000000"/>
          <w:sz w:val="28"/>
        </w:rPr>
        <w:t>
      22. В соглашении о передаче активов во внешнее управление содержатся следующие условия:</w:t>
      </w:r>
    </w:p>
    <w:bookmarkEnd w:id="60"/>
    <w:p>
      <w:pPr>
        <w:spacing w:after="0"/>
        <w:ind w:left="0"/>
        <w:jc w:val="both"/>
      </w:pPr>
      <w:r>
        <w:rPr>
          <w:rFonts w:ascii="Times New Roman"/>
          <w:b w:val="false"/>
          <w:i w:val="false"/>
          <w:color w:val="000000"/>
          <w:sz w:val="28"/>
        </w:rPr>
        <w:t>
      1) полномочие Национального Банка в любой момент досрочно расторгнуть соглашение о передаче активов Фонда во внешнее управление в следующих случаях:</w:t>
      </w:r>
    </w:p>
    <w:p>
      <w:pPr>
        <w:spacing w:after="0"/>
        <w:ind w:left="0"/>
        <w:jc w:val="both"/>
      </w:pPr>
      <w:r>
        <w:rPr>
          <w:rFonts w:ascii="Times New Roman"/>
          <w:b w:val="false"/>
          <w:i w:val="false"/>
          <w:color w:val="000000"/>
          <w:sz w:val="28"/>
        </w:rPr>
        <w:t>
      недостижение внешним управляющим сверхдоходности по управлению портфелем во внешнем управлении в сравнении с эталонным портфелем;</w:t>
      </w:r>
    </w:p>
    <w:p>
      <w:pPr>
        <w:spacing w:after="0"/>
        <w:ind w:left="0"/>
        <w:jc w:val="both"/>
      </w:pPr>
      <w:r>
        <w:rPr>
          <w:rFonts w:ascii="Times New Roman"/>
          <w:b w:val="false"/>
          <w:i w:val="false"/>
          <w:color w:val="000000"/>
          <w:sz w:val="28"/>
        </w:rPr>
        <w:t>
      нарушение внешним управляющим ограничений, установленных Правилами осуществления инвестиционных операций Фонда;</w:t>
      </w:r>
    </w:p>
    <w:p>
      <w:pPr>
        <w:spacing w:after="0"/>
        <w:ind w:left="0"/>
        <w:jc w:val="both"/>
      </w:pPr>
      <w:r>
        <w:rPr>
          <w:rFonts w:ascii="Times New Roman"/>
          <w:b w:val="false"/>
          <w:i w:val="false"/>
          <w:color w:val="000000"/>
          <w:sz w:val="28"/>
        </w:rPr>
        <w:t>
      изменение Правил осуществления инвестиционных операций Фонда;</w:t>
      </w:r>
    </w:p>
    <w:p>
      <w:pPr>
        <w:spacing w:after="0"/>
        <w:ind w:left="0"/>
        <w:jc w:val="both"/>
      </w:pPr>
      <w:r>
        <w:rPr>
          <w:rFonts w:ascii="Times New Roman"/>
          <w:b w:val="false"/>
          <w:i w:val="false"/>
          <w:color w:val="000000"/>
          <w:sz w:val="28"/>
        </w:rPr>
        <w:t>
      на основании постановления Правления Национального Банка или по решению Полномочного представителя с представлением письменного уведомления внешнему управляющему и указанием даты расторжения соглашения о передаче активов Фонда во внешнее управление;</w:t>
      </w:r>
    </w:p>
    <w:p>
      <w:pPr>
        <w:spacing w:after="0"/>
        <w:ind w:left="0"/>
        <w:jc w:val="both"/>
      </w:pPr>
      <w:r>
        <w:rPr>
          <w:rFonts w:ascii="Times New Roman"/>
          <w:b w:val="false"/>
          <w:i w:val="false"/>
          <w:color w:val="000000"/>
          <w:sz w:val="28"/>
        </w:rPr>
        <w:t>
      2) полномочие Национального Банка по своему усмотрению пополнять(отзывать) активы Фонда, находящиеся во внешнем управлении;</w:t>
      </w:r>
    </w:p>
    <w:p>
      <w:pPr>
        <w:spacing w:after="0"/>
        <w:ind w:left="0"/>
        <w:jc w:val="both"/>
      </w:pPr>
      <w:r>
        <w:rPr>
          <w:rFonts w:ascii="Times New Roman"/>
          <w:b w:val="false"/>
          <w:i w:val="false"/>
          <w:color w:val="000000"/>
          <w:sz w:val="28"/>
        </w:rPr>
        <w:t>
      3) подписание соглашения о передаче активов Фонда во внешнее управление на государственном, русском и(или) на языке, определенном по согласованию сторон;</w:t>
      </w:r>
    </w:p>
    <w:p>
      <w:pPr>
        <w:spacing w:after="0"/>
        <w:ind w:left="0"/>
        <w:jc w:val="both"/>
      </w:pPr>
      <w:r>
        <w:rPr>
          <w:rFonts w:ascii="Times New Roman"/>
          <w:b w:val="false"/>
          <w:i w:val="false"/>
          <w:color w:val="000000"/>
          <w:sz w:val="28"/>
        </w:rPr>
        <w:t>
      4) представление внешним управляющим информации о передвижении его персонала, ответственного за управление активами Фонда, переданными во внешнее управление;</w:t>
      </w:r>
    </w:p>
    <w:p>
      <w:pPr>
        <w:spacing w:after="0"/>
        <w:ind w:left="0"/>
        <w:jc w:val="both"/>
      </w:pPr>
      <w:r>
        <w:rPr>
          <w:rFonts w:ascii="Times New Roman"/>
          <w:b w:val="false"/>
          <w:i w:val="false"/>
          <w:color w:val="000000"/>
          <w:sz w:val="28"/>
        </w:rPr>
        <w:t xml:space="preserve">
      5) посещение внешнего управляющего работниками Национального Банка, Министерства финансов Республики Казахстан (далее – Министерство финансов) и независимыми аудиторами для целей проверки операций по счету, а также получения дополнительной информации о внешнем управляющем, порядке принятия инвестиционных решений и процедурах мониторинга за рисками; </w:t>
      </w:r>
    </w:p>
    <w:p>
      <w:pPr>
        <w:spacing w:after="0"/>
        <w:ind w:left="0"/>
        <w:jc w:val="both"/>
      </w:pPr>
      <w:r>
        <w:rPr>
          <w:rFonts w:ascii="Times New Roman"/>
          <w:b w:val="false"/>
          <w:i w:val="false"/>
          <w:color w:val="000000"/>
          <w:sz w:val="28"/>
        </w:rPr>
        <w:t>
      6) неиспользование в качестве брокеров по сделкам с активами Фонда, переданными во внешнее управление, аффилированных с внешним управляющим организаций;</w:t>
      </w:r>
    </w:p>
    <w:p>
      <w:pPr>
        <w:spacing w:after="0"/>
        <w:ind w:left="0"/>
        <w:jc w:val="both"/>
      </w:pPr>
      <w:r>
        <w:rPr>
          <w:rFonts w:ascii="Times New Roman"/>
          <w:b w:val="false"/>
          <w:i w:val="false"/>
          <w:color w:val="000000"/>
          <w:sz w:val="28"/>
        </w:rPr>
        <w:t>
      7) ответственность внешнего управляющего за нарушение, установленного Правилами осуществления инвестиционных операций Фонда, лимита ожидаемой изменчивости отклонения доходности (еxpected tracking error);</w:t>
      </w:r>
    </w:p>
    <w:p>
      <w:pPr>
        <w:spacing w:after="0"/>
        <w:ind w:left="0"/>
        <w:jc w:val="both"/>
      </w:pPr>
      <w:r>
        <w:rPr>
          <w:rFonts w:ascii="Times New Roman"/>
          <w:b w:val="false"/>
          <w:i w:val="false"/>
          <w:color w:val="000000"/>
          <w:sz w:val="28"/>
        </w:rPr>
        <w:t>
      8) ответственность за возможные убытки, причиненные Фонду вследствие небрежности, преднамеренного невыполнения обязательств или мошенничества со стороны внешнего управляющего;</w:t>
      </w:r>
    </w:p>
    <w:p>
      <w:pPr>
        <w:spacing w:after="0"/>
        <w:ind w:left="0"/>
        <w:jc w:val="both"/>
      </w:pPr>
      <w:r>
        <w:rPr>
          <w:rFonts w:ascii="Times New Roman"/>
          <w:b w:val="false"/>
          <w:i w:val="false"/>
          <w:color w:val="000000"/>
          <w:sz w:val="28"/>
        </w:rPr>
        <w:t>
      9) консультирование, обучение или стажировка работников Национального Банка и Министерства финансов, осуществляющих управление и мониторинг активов Фонда;</w:t>
      </w:r>
    </w:p>
    <w:p>
      <w:pPr>
        <w:spacing w:after="0"/>
        <w:ind w:left="0"/>
        <w:jc w:val="both"/>
      </w:pPr>
      <w:r>
        <w:rPr>
          <w:rFonts w:ascii="Times New Roman"/>
          <w:b w:val="false"/>
          <w:i w:val="false"/>
          <w:color w:val="000000"/>
          <w:sz w:val="28"/>
        </w:rPr>
        <w:t>
      10) представление в Национальный Банк внешним управляющим сверенной с банком(банками)-кастодианом(кастодианами) полной отчетности по портфелю на дату расторжения соглашения о передаче активов Фонда во внешнее управление в случае расторжения соглашения о передаче активов Фонда во внешнее управление. Все ожидаемые расходы, связанные с портфелем за период внешнего управления, определяются в соответствии с соглашением о передаче активов Фонда во внешнее управление;</w:t>
      </w:r>
    </w:p>
    <w:p>
      <w:pPr>
        <w:spacing w:after="0"/>
        <w:ind w:left="0"/>
        <w:jc w:val="both"/>
      </w:pPr>
      <w:r>
        <w:rPr>
          <w:rFonts w:ascii="Times New Roman"/>
          <w:b w:val="false"/>
          <w:i w:val="false"/>
          <w:color w:val="000000"/>
          <w:sz w:val="28"/>
        </w:rPr>
        <w:t>
      11) представление в Национальный Банк внешним управляющим на регулярной основе в соответствии с соглашением о передаче активов Фонда во внешнее управление отчетности в соответствии со следующими основными направлениями:</w:t>
      </w:r>
    </w:p>
    <w:p>
      <w:pPr>
        <w:spacing w:after="0"/>
        <w:ind w:left="0"/>
        <w:jc w:val="both"/>
      </w:pPr>
      <w:r>
        <w:rPr>
          <w:rFonts w:ascii="Times New Roman"/>
          <w:b w:val="false"/>
          <w:i w:val="false"/>
          <w:color w:val="000000"/>
          <w:sz w:val="28"/>
        </w:rPr>
        <w:t>
      ежедневная отчетность по совершенным за предыдущий рабочий день операциям;</w:t>
      </w:r>
    </w:p>
    <w:p>
      <w:pPr>
        <w:spacing w:after="0"/>
        <w:ind w:left="0"/>
        <w:jc w:val="both"/>
      </w:pPr>
      <w:r>
        <w:rPr>
          <w:rFonts w:ascii="Times New Roman"/>
          <w:b w:val="false"/>
          <w:i w:val="false"/>
          <w:color w:val="000000"/>
          <w:sz w:val="28"/>
        </w:rPr>
        <w:t>
      оценка портфеля (распределение активов по различным классам и видам валют, состав портфеля на конец отчетного месяца, рыночная стоимость активов на конец отчетного месяца);</w:t>
      </w:r>
    </w:p>
    <w:p>
      <w:pPr>
        <w:spacing w:after="0"/>
        <w:ind w:left="0"/>
        <w:jc w:val="both"/>
      </w:pPr>
      <w:r>
        <w:rPr>
          <w:rFonts w:ascii="Times New Roman"/>
          <w:b w:val="false"/>
          <w:i w:val="false"/>
          <w:color w:val="000000"/>
          <w:sz w:val="28"/>
        </w:rPr>
        <w:t>
      движения в портфеле (перечень всех заключенных за отчетный квартал сделок, отсортированные по различным классам и валютам, погашений, выплат дивидендов и накопленных процентов);</w:t>
      </w:r>
    </w:p>
    <w:p>
      <w:pPr>
        <w:spacing w:after="0"/>
        <w:ind w:left="0"/>
        <w:jc w:val="both"/>
      </w:pPr>
      <w:r>
        <w:rPr>
          <w:rFonts w:ascii="Times New Roman"/>
          <w:b w:val="false"/>
          <w:i w:val="false"/>
          <w:color w:val="000000"/>
          <w:sz w:val="28"/>
        </w:rPr>
        <w:t>
      анализ результатов управления портфелем (ежемесячные, квартальные и общие результаты по управлению портфелем в разрезе достигнутой доходности, показателей риска портфеля и уровня изменчивости отклонения доходности (tracking error) в сравнении с эталонным портфелем);</w:t>
      </w:r>
    </w:p>
    <w:p>
      <w:pPr>
        <w:spacing w:after="0"/>
        <w:ind w:left="0"/>
        <w:jc w:val="both"/>
      </w:pPr>
      <w:r>
        <w:rPr>
          <w:rFonts w:ascii="Times New Roman"/>
          <w:b w:val="false"/>
          <w:i w:val="false"/>
          <w:color w:val="000000"/>
          <w:sz w:val="28"/>
        </w:rPr>
        <w:t xml:space="preserve">
      письменный отчет по состоянию соответствующих рынков и их влиянию на портфель; </w:t>
      </w:r>
    </w:p>
    <w:p>
      <w:pPr>
        <w:spacing w:after="0"/>
        <w:ind w:left="0"/>
        <w:jc w:val="both"/>
      </w:pPr>
      <w:r>
        <w:rPr>
          <w:rFonts w:ascii="Times New Roman"/>
          <w:b w:val="false"/>
          <w:i w:val="false"/>
          <w:color w:val="000000"/>
          <w:sz w:val="28"/>
        </w:rPr>
        <w:t>
      экономический обзор;</w:t>
      </w:r>
    </w:p>
    <w:p>
      <w:pPr>
        <w:spacing w:after="0"/>
        <w:ind w:left="0"/>
        <w:jc w:val="both"/>
      </w:pPr>
      <w:r>
        <w:rPr>
          <w:rFonts w:ascii="Times New Roman"/>
          <w:b w:val="false"/>
          <w:i w:val="false"/>
          <w:color w:val="000000"/>
          <w:sz w:val="28"/>
        </w:rPr>
        <w:t>
      обзор стратегии и объяснение наиболее важных изменений в структуре портфеля;</w:t>
      </w:r>
    </w:p>
    <w:p>
      <w:pPr>
        <w:spacing w:after="0"/>
        <w:ind w:left="0"/>
        <w:jc w:val="both"/>
      </w:pPr>
      <w:r>
        <w:rPr>
          <w:rFonts w:ascii="Times New Roman"/>
          <w:b w:val="false"/>
          <w:i w:val="false"/>
          <w:color w:val="000000"/>
          <w:sz w:val="28"/>
        </w:rPr>
        <w:t>
      текущая стратегия инвестирования;</w:t>
      </w:r>
    </w:p>
    <w:p>
      <w:pPr>
        <w:spacing w:after="0"/>
        <w:ind w:left="0"/>
        <w:jc w:val="both"/>
      </w:pPr>
      <w:r>
        <w:rPr>
          <w:rFonts w:ascii="Times New Roman"/>
          <w:b w:val="false"/>
          <w:i w:val="false"/>
          <w:color w:val="000000"/>
          <w:sz w:val="28"/>
        </w:rPr>
        <w:t>
      вклад различных факторов в доходность портфеля для активного управления активами.</w:t>
      </w:r>
    </w:p>
    <w:p>
      <w:pPr>
        <w:spacing w:after="0"/>
        <w:ind w:left="0"/>
        <w:jc w:val="both"/>
      </w:pPr>
      <w:r>
        <w:rPr>
          <w:rFonts w:ascii="Times New Roman"/>
          <w:b w:val="false"/>
          <w:i w:val="false"/>
          <w:color w:val="000000"/>
          <w:sz w:val="28"/>
        </w:rPr>
        <w:t xml:space="preserve">
      12) ежемесячное, на конец каждого месяца или на дату завершения транзитного периода, осуществление внешним управляющим сверки состава портфеля, переданного во внешнее управление, с данными банка(банков)-кастодиана(кастодианов) в соответствии с соглашением о передаче активов Фонда во внешнее управление; </w:t>
      </w:r>
    </w:p>
    <w:p>
      <w:pPr>
        <w:spacing w:after="0"/>
        <w:ind w:left="0"/>
        <w:jc w:val="both"/>
      </w:pPr>
      <w:r>
        <w:rPr>
          <w:rFonts w:ascii="Times New Roman"/>
          <w:b w:val="false"/>
          <w:i w:val="false"/>
          <w:color w:val="000000"/>
          <w:sz w:val="28"/>
        </w:rPr>
        <w:t>
      13) возможность внесения изменений и(или) дополнений в соглашение о передаче активов Фонда во внешнее управление с письменного согласия обеих сторон;</w:t>
      </w:r>
    </w:p>
    <w:p>
      <w:pPr>
        <w:spacing w:after="0"/>
        <w:ind w:left="0"/>
        <w:jc w:val="both"/>
      </w:pPr>
      <w:r>
        <w:rPr>
          <w:rFonts w:ascii="Times New Roman"/>
          <w:b w:val="false"/>
          <w:i w:val="false"/>
          <w:color w:val="000000"/>
          <w:sz w:val="28"/>
        </w:rPr>
        <w:t>
      14) представление внешним управляющим информации о проведенных операциях банку-кастодиану в кратчайшие сроки после согласования и завершения процедур подтверждения сделок между внешним управляющим и брокером;</w:t>
      </w:r>
    </w:p>
    <w:p>
      <w:pPr>
        <w:spacing w:after="0"/>
        <w:ind w:left="0"/>
        <w:jc w:val="both"/>
      </w:pPr>
      <w:r>
        <w:rPr>
          <w:rFonts w:ascii="Times New Roman"/>
          <w:b w:val="false"/>
          <w:i w:val="false"/>
          <w:color w:val="000000"/>
          <w:sz w:val="28"/>
        </w:rPr>
        <w:t>
      15) представление внешним управляющим процедур утверждения брокеров, а также агентов и контрпартнеров внешнего управляющего;</w:t>
      </w:r>
    </w:p>
    <w:p>
      <w:pPr>
        <w:spacing w:after="0"/>
        <w:ind w:left="0"/>
        <w:jc w:val="both"/>
      </w:pPr>
      <w:r>
        <w:rPr>
          <w:rFonts w:ascii="Times New Roman"/>
          <w:b w:val="false"/>
          <w:i w:val="false"/>
          <w:color w:val="000000"/>
          <w:sz w:val="28"/>
        </w:rPr>
        <w:t xml:space="preserve">
      16) представление информации о наличии внутренних политик и процедур управления рисками внешнего управляющего, снижающих риск злоупотреблений и конфликта интересов, в том числе обеспечивающих равноправное распределение сделок среди портфелей клиентов; </w:t>
      </w:r>
    </w:p>
    <w:p>
      <w:pPr>
        <w:spacing w:after="0"/>
        <w:ind w:left="0"/>
        <w:jc w:val="both"/>
      </w:pPr>
      <w:r>
        <w:rPr>
          <w:rFonts w:ascii="Times New Roman"/>
          <w:b w:val="false"/>
          <w:i w:val="false"/>
          <w:color w:val="000000"/>
          <w:sz w:val="28"/>
        </w:rPr>
        <w:t>
      17) проведение внешним управляющим с периодичностью один раз в год встреч с уполномоченным подразделением для представления отчетности о результатах управления активами Фонда, об исполнении инвестиционных ограничений, оценке рыночной ситуации и ее возможном влиянии на портфель и на осуществление инвестиционных операций Фонда.</w:t>
      </w:r>
    </w:p>
    <w:bookmarkStart w:name="z64" w:id="61"/>
    <w:p>
      <w:pPr>
        <w:spacing w:after="0"/>
        <w:ind w:left="0"/>
        <w:jc w:val="both"/>
      </w:pPr>
      <w:r>
        <w:rPr>
          <w:rFonts w:ascii="Times New Roman"/>
          <w:b w:val="false"/>
          <w:i w:val="false"/>
          <w:color w:val="000000"/>
          <w:sz w:val="28"/>
        </w:rPr>
        <w:t xml:space="preserve">
      23. Соглашение о передаче активов Фонда во внешнее транзитное управление содержит условия, предусмотренные подпунктами 3), 4), 5), 8), 13), 14), 15) и 16) </w:t>
      </w:r>
      <w:r>
        <w:rPr>
          <w:rFonts w:ascii="Times New Roman"/>
          <w:b w:val="false"/>
          <w:i w:val="false"/>
          <w:color w:val="000000"/>
          <w:sz w:val="28"/>
        </w:rPr>
        <w:t>пункта 22</w:t>
      </w:r>
      <w:r>
        <w:rPr>
          <w:rFonts w:ascii="Times New Roman"/>
          <w:b w:val="false"/>
          <w:i w:val="false"/>
          <w:color w:val="000000"/>
          <w:sz w:val="28"/>
        </w:rPr>
        <w:t xml:space="preserve"> Правил, а также следующие условия:</w:t>
      </w:r>
    </w:p>
    <w:bookmarkEnd w:id="61"/>
    <w:p>
      <w:pPr>
        <w:spacing w:after="0"/>
        <w:ind w:left="0"/>
        <w:jc w:val="both"/>
      </w:pPr>
      <w:r>
        <w:rPr>
          <w:rFonts w:ascii="Times New Roman"/>
          <w:b w:val="false"/>
          <w:i w:val="false"/>
          <w:color w:val="000000"/>
          <w:sz w:val="28"/>
        </w:rPr>
        <w:t>
      1) полномочие Национального Банка в любой момент досрочно расторгнуть соглашение о передаче активов Фонда во внешнее транзитное управление в следующих случаях:</w:t>
      </w:r>
    </w:p>
    <w:p>
      <w:pPr>
        <w:spacing w:after="0"/>
        <w:ind w:left="0"/>
        <w:jc w:val="both"/>
      </w:pPr>
      <w:r>
        <w:rPr>
          <w:rFonts w:ascii="Times New Roman"/>
          <w:b w:val="false"/>
          <w:i w:val="false"/>
          <w:color w:val="000000"/>
          <w:sz w:val="28"/>
        </w:rPr>
        <w:t>
      нарушение внешним транзитным управляющим условий соглашения о передаче активов Фонда во внешнее транзитное управление;</w:t>
      </w:r>
    </w:p>
    <w:p>
      <w:pPr>
        <w:spacing w:after="0"/>
        <w:ind w:left="0"/>
        <w:jc w:val="both"/>
      </w:pPr>
      <w:r>
        <w:rPr>
          <w:rFonts w:ascii="Times New Roman"/>
          <w:b w:val="false"/>
          <w:i w:val="false"/>
          <w:color w:val="000000"/>
          <w:sz w:val="28"/>
        </w:rPr>
        <w:t>
      по решению Председателя Национального Банка или Полномочного представителя, либо на основании постановления Правления Национального Банка с представлением письменного уведомления внешнему транзитному управляющему и указанием даты расторжения соглашения о передаче активов Фонда во внешнее транзитное управление в соответствии с соглашением о передаче активов Фонда во внешнее транзитное управление;</w:t>
      </w:r>
    </w:p>
    <w:p>
      <w:pPr>
        <w:spacing w:after="0"/>
        <w:ind w:left="0"/>
        <w:jc w:val="both"/>
      </w:pPr>
      <w:r>
        <w:rPr>
          <w:rFonts w:ascii="Times New Roman"/>
          <w:b w:val="false"/>
          <w:i w:val="false"/>
          <w:color w:val="000000"/>
          <w:sz w:val="28"/>
        </w:rPr>
        <w:t>
      2) полномочие Национального Банка в любое время пополнять(отзывать) активы Фонда, находящиеся во внешнем транзитном управлении, если такие действия не затрагивают любое незавершенное внешнее транзитное управление активов Фонда;</w:t>
      </w:r>
    </w:p>
    <w:p>
      <w:pPr>
        <w:spacing w:after="0"/>
        <w:ind w:left="0"/>
        <w:jc w:val="both"/>
      </w:pPr>
      <w:r>
        <w:rPr>
          <w:rFonts w:ascii="Times New Roman"/>
          <w:b w:val="false"/>
          <w:i w:val="false"/>
          <w:color w:val="000000"/>
          <w:sz w:val="28"/>
        </w:rPr>
        <w:t>
      3) представление внешним транзитным управляющим на момент завершения транзитного периода сверенной с банком(банками)-кастодианом(кастодианами) полной отчетности по портфелю на дату завершения транзитного периода в соответствии с соглашением о передаче активов Фонда во внешнее транзитное управление;</w:t>
      </w:r>
    </w:p>
    <w:p>
      <w:pPr>
        <w:spacing w:after="0"/>
        <w:ind w:left="0"/>
        <w:jc w:val="both"/>
      </w:pPr>
      <w:r>
        <w:rPr>
          <w:rFonts w:ascii="Times New Roman"/>
          <w:b w:val="false"/>
          <w:i w:val="false"/>
          <w:color w:val="000000"/>
          <w:sz w:val="28"/>
        </w:rPr>
        <w:t>
      4) представление в Национальный Банк внешним транзитным управляющим отчетности в соответствии со следующими основными направлениями:</w:t>
      </w:r>
    </w:p>
    <w:p>
      <w:pPr>
        <w:spacing w:after="0"/>
        <w:ind w:left="0"/>
        <w:jc w:val="both"/>
      </w:pPr>
      <w:r>
        <w:rPr>
          <w:rFonts w:ascii="Times New Roman"/>
          <w:b w:val="false"/>
          <w:i w:val="false"/>
          <w:color w:val="000000"/>
          <w:sz w:val="28"/>
        </w:rPr>
        <w:t>
      отчетность по всем сделкам с ценными бумагами, совершенным внешним транзитным управляющим и его аффилированными брокерами (дилерами) и брокерами по фьючерсным сделкам;</w:t>
      </w:r>
    </w:p>
    <w:p>
      <w:pPr>
        <w:spacing w:after="0"/>
        <w:ind w:left="0"/>
        <w:jc w:val="both"/>
      </w:pPr>
      <w:r>
        <w:rPr>
          <w:rFonts w:ascii="Times New Roman"/>
          <w:b w:val="false"/>
          <w:i w:val="false"/>
          <w:color w:val="000000"/>
          <w:sz w:val="28"/>
        </w:rPr>
        <w:t>
      отчет по результату выполнения любого внешнего транзитного управления активами Фонда, включая разницу в стоимости исполнения сделки, комиссионное вознаграждение брокеров, влияние рынка, разницу курсов покупки и продажи валюты по форексным операциям, налоги и упущенную выгоду на дату завершения транзитного периода;</w:t>
      </w:r>
    </w:p>
    <w:p>
      <w:pPr>
        <w:spacing w:after="0"/>
        <w:ind w:left="0"/>
        <w:jc w:val="both"/>
      </w:pPr>
      <w:r>
        <w:rPr>
          <w:rFonts w:ascii="Times New Roman"/>
          <w:b w:val="false"/>
          <w:i w:val="false"/>
          <w:color w:val="000000"/>
          <w:sz w:val="28"/>
        </w:rPr>
        <w:t xml:space="preserve">
      письменный отчет по состоянию соответствующих рынков и их влиянию на портфель; </w:t>
      </w:r>
    </w:p>
    <w:p>
      <w:pPr>
        <w:spacing w:after="0"/>
        <w:ind w:left="0"/>
        <w:jc w:val="both"/>
      </w:pPr>
      <w:r>
        <w:rPr>
          <w:rFonts w:ascii="Times New Roman"/>
          <w:b w:val="false"/>
          <w:i w:val="false"/>
          <w:color w:val="000000"/>
          <w:sz w:val="28"/>
        </w:rPr>
        <w:t>
      экономический обзор;</w:t>
      </w:r>
    </w:p>
    <w:p>
      <w:pPr>
        <w:spacing w:after="0"/>
        <w:ind w:left="0"/>
        <w:jc w:val="both"/>
      </w:pPr>
      <w:r>
        <w:rPr>
          <w:rFonts w:ascii="Times New Roman"/>
          <w:b w:val="false"/>
          <w:i w:val="false"/>
          <w:color w:val="000000"/>
          <w:sz w:val="28"/>
        </w:rPr>
        <w:t>
      обзор стратегии и объяснение наиболее важных изменений в структуре портфеля;</w:t>
      </w:r>
    </w:p>
    <w:p>
      <w:pPr>
        <w:spacing w:after="0"/>
        <w:ind w:left="0"/>
        <w:jc w:val="both"/>
      </w:pPr>
      <w:r>
        <w:rPr>
          <w:rFonts w:ascii="Times New Roman"/>
          <w:b w:val="false"/>
          <w:i w:val="false"/>
          <w:color w:val="000000"/>
          <w:sz w:val="28"/>
        </w:rPr>
        <w:t>
      текущая стратегия инвестирования активов Фонда.</w:t>
      </w:r>
    </w:p>
    <w:bookmarkStart w:name="z65" w:id="62"/>
    <w:p>
      <w:pPr>
        <w:spacing w:after="0"/>
        <w:ind w:left="0"/>
        <w:jc w:val="both"/>
      </w:pPr>
      <w:r>
        <w:rPr>
          <w:rFonts w:ascii="Times New Roman"/>
          <w:b w:val="false"/>
          <w:i w:val="false"/>
          <w:color w:val="000000"/>
          <w:sz w:val="28"/>
        </w:rPr>
        <w:t xml:space="preserve">
      24. Национальный Банк осуществляет в соответствии с соглашением о передаче активов Фонда во внешнее управление или соглашением о передаче активов Фонда во внешнее транзитное управление передачу активов Фонда во внешнее или внешнее транзитное управление путем перевода денег и ценных бумаг на счета Национального Банка у банка(банков)-кастодиана(кастодианов), предназначенные для внешнего управления или внешнего транзитного управления. </w:t>
      </w:r>
    </w:p>
    <w:bookmarkEnd w:id="62"/>
    <w:bookmarkStart w:name="z66" w:id="63"/>
    <w:p>
      <w:pPr>
        <w:spacing w:after="0"/>
        <w:ind w:left="0"/>
        <w:jc w:val="both"/>
      </w:pPr>
      <w:r>
        <w:rPr>
          <w:rFonts w:ascii="Times New Roman"/>
          <w:b w:val="false"/>
          <w:i w:val="false"/>
          <w:color w:val="000000"/>
          <w:sz w:val="28"/>
        </w:rPr>
        <w:t>
      25. При передаче активов Фонда во внешнее управление или внешнее транзитное управление учитывается транзитный период для перевода активов Фонда из одного вида в другой. Длительность транзитного периода не превышает 15 (пятнадцати) рабочих дней.</w:t>
      </w:r>
    </w:p>
    <w:bookmarkEnd w:id="63"/>
    <w:bookmarkStart w:name="z67" w:id="64"/>
    <w:p>
      <w:pPr>
        <w:spacing w:after="0"/>
        <w:ind w:left="0"/>
        <w:jc w:val="both"/>
      </w:pPr>
      <w:r>
        <w:rPr>
          <w:rFonts w:ascii="Times New Roman"/>
          <w:b w:val="false"/>
          <w:i w:val="false"/>
          <w:color w:val="000000"/>
          <w:sz w:val="28"/>
        </w:rPr>
        <w:t xml:space="preserve">
      26. Активы Фонда, передаваемые во внешнее управление или внешнее транзитное управление, хранятся на счетах Национального Банка в банке(банках)-кастодиане(кастодинах) и на маржевом счете. Для внешних транзитных управляющих допускается размещение активов Фонда на маржевом счете внешнего транзитного управляющего, открытом у третьего лица, при наличии соглашения между Национальным Банком и внешним транзитным управляющим об условиях проведения операций по такому счету или условий проведения операций по такому счету в соглашении о передаче активов Фонда во внешнее транзитное управление. </w:t>
      </w:r>
    </w:p>
    <w:bookmarkEnd w:id="64"/>
    <w:bookmarkStart w:name="z68" w:id="65"/>
    <w:p>
      <w:pPr>
        <w:spacing w:after="0"/>
        <w:ind w:left="0"/>
        <w:jc w:val="both"/>
      </w:pPr>
      <w:r>
        <w:rPr>
          <w:rFonts w:ascii="Times New Roman"/>
          <w:b w:val="false"/>
          <w:i w:val="false"/>
          <w:color w:val="000000"/>
          <w:sz w:val="28"/>
        </w:rPr>
        <w:t>
      27. Со дня передачи активов Фонда во внешнее управление или внешнее транзитное управление уполномоченное подразделение проводит ежедневный мониторинг деятельности внешнего управляющего или внешнего транзитного управляющего: проверяется соответствие ограничениям, указанным в соглашении о передаче активов Фонда во внешнее управление или соглашение о передаче активов Фонда во внешнее транзитное управление, осуществляется мониторинг сделок, совершаемых внешним управляющим или внешним транзитным управляющим, оцениваются показатели риска и доходности портфеля во внешнем управлении.</w:t>
      </w:r>
    </w:p>
    <w:bookmarkEnd w:id="65"/>
    <w:bookmarkStart w:name="z69" w:id="66"/>
    <w:p>
      <w:pPr>
        <w:spacing w:after="0"/>
        <w:ind w:left="0"/>
        <w:jc w:val="both"/>
      </w:pPr>
      <w:r>
        <w:rPr>
          <w:rFonts w:ascii="Times New Roman"/>
          <w:b w:val="false"/>
          <w:i w:val="false"/>
          <w:color w:val="000000"/>
          <w:sz w:val="28"/>
        </w:rPr>
        <w:t>
      28. С периодичностью один раз в год уполномоченное подразделение в соответствии с соглашением о передаче активов Фонда во внешнее управление проводит встречу с внешним управляющим, на которой внешний управляющий отчитывается о результатах управления, об исполнении инвестиционных ограничений, дает оценку рыночной ситуации и ее возможном влиянии на портфель и на осуществление инвестиционных операций Фонда.</w:t>
      </w:r>
    </w:p>
    <w:bookmarkEnd w:id="66"/>
    <w:bookmarkStart w:name="z70" w:id="67"/>
    <w:p>
      <w:pPr>
        <w:spacing w:after="0"/>
        <w:ind w:left="0"/>
        <w:jc w:val="both"/>
      </w:pPr>
      <w:r>
        <w:rPr>
          <w:rFonts w:ascii="Times New Roman"/>
          <w:b w:val="false"/>
          <w:i w:val="false"/>
          <w:color w:val="000000"/>
          <w:sz w:val="28"/>
        </w:rPr>
        <w:t xml:space="preserve">
      29. Процедура оценки эффективности работы действующих внешних управляющих проводится в целях принятия решения о необходимости частичного пополнения(изъятия) активов Фонда или продолжения(прекращения) работы с внешним управляющим. Данная процедура оценки эффективности работы внешних управляющих осуществляется на основе методики оценки эффективности работы внешнего управляющего,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Правилам. По результатам проведенного анализа эффективности работы внешнего управляющего в целом и по классам активов за последние 3 (три), 5 (пять) лет и более со дня начала управления с учетом взимаемого комиссионного вознаграждения, руководством Национального Банка принимается соответствующее решение о пополнении(изъятии) активов Фонда или продолжении(прекращении) работы с данным внешним управляющим, либо вынесении данного вопроса на рассмотрение Правления Национального Банка. </w:t>
      </w:r>
    </w:p>
    <w:bookmarkEnd w:id="67"/>
    <w:bookmarkStart w:name="z71" w:id="68"/>
    <w:p>
      <w:pPr>
        <w:spacing w:after="0"/>
        <w:ind w:left="0"/>
        <w:jc w:val="both"/>
      </w:pPr>
      <w:r>
        <w:rPr>
          <w:rFonts w:ascii="Times New Roman"/>
          <w:b w:val="false"/>
          <w:i w:val="false"/>
          <w:color w:val="000000"/>
          <w:sz w:val="28"/>
        </w:rPr>
        <w:t>
      30. При нарушении лимита по объему активов Фонда, переданных во внешнее управление, ввиду слияния двух действующих внешних управляющих, уполномоченное подразделение выносит на рассмотрение руководства Национального Банка вопрос о расторжении соглашения о передаче активов Фонда во внешнее управление с одним из двух внешних управляющих, показавшим более низкий результат. Указанное нарушение устраняется уполномоченным подразделением в течение 4 (четырех) месяцев со дня возникновения.</w:t>
      </w:r>
    </w:p>
    <w:bookmarkEnd w:id="68"/>
    <w:bookmarkStart w:name="z72" w:id="69"/>
    <w:p>
      <w:pPr>
        <w:spacing w:after="0"/>
        <w:ind w:left="0"/>
        <w:jc w:val="both"/>
      </w:pPr>
      <w:r>
        <w:rPr>
          <w:rFonts w:ascii="Times New Roman"/>
          <w:b w:val="false"/>
          <w:i w:val="false"/>
          <w:color w:val="000000"/>
          <w:sz w:val="28"/>
        </w:rPr>
        <w:t xml:space="preserve">
      31. Отчет о результатах управления внешних управляющих выносится на рассмотрение Правления Национального Банка на ежегодной основе.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w:t>
            </w:r>
            <w:r>
              <w:br/>
            </w:r>
            <w:r>
              <w:rPr>
                <w:rFonts w:ascii="Times New Roman"/>
                <w:b w:val="false"/>
                <w:i w:val="false"/>
                <w:color w:val="000000"/>
                <w:sz w:val="20"/>
              </w:rPr>
              <w:t>внешних управляющих активами</w:t>
            </w:r>
            <w:r>
              <w:br/>
            </w:r>
            <w:r>
              <w:rPr>
                <w:rFonts w:ascii="Times New Roman"/>
                <w:b w:val="false"/>
                <w:i w:val="false"/>
                <w:color w:val="000000"/>
                <w:sz w:val="20"/>
              </w:rPr>
              <w:t>Национального фонда Республики Казахстан</w:t>
            </w:r>
          </w:p>
        </w:tc>
      </w:tr>
    </w:tbl>
    <w:bookmarkStart w:name="z74" w:id="70"/>
    <w:p>
      <w:pPr>
        <w:spacing w:after="0"/>
        <w:ind w:left="0"/>
        <w:jc w:val="left"/>
      </w:pPr>
      <w:r>
        <w:rPr>
          <w:rFonts w:ascii="Times New Roman"/>
          <w:b/>
          <w:i w:val="false"/>
          <w:color w:val="000000"/>
        </w:rPr>
        <w:t xml:space="preserve"> Информация, запрашиваемая у внешнего управляющего</w:t>
      </w:r>
    </w:p>
    <w:bookmarkEnd w:id="70"/>
    <w:bookmarkStart w:name="z75" w:id="71"/>
    <w:p>
      <w:pPr>
        <w:spacing w:after="0"/>
        <w:ind w:left="0"/>
        <w:jc w:val="both"/>
      </w:pPr>
      <w:r>
        <w:rPr>
          <w:rFonts w:ascii="Times New Roman"/>
          <w:b w:val="false"/>
          <w:i w:val="false"/>
          <w:color w:val="000000"/>
          <w:sz w:val="28"/>
        </w:rPr>
        <w:t xml:space="preserve">
      1. Опыт работы внешнего управляющего по рассматриваемому типу мандата. </w:t>
      </w:r>
    </w:p>
    <w:bookmarkEnd w:id="71"/>
    <w:bookmarkStart w:name="z76" w:id="72"/>
    <w:p>
      <w:pPr>
        <w:spacing w:after="0"/>
        <w:ind w:left="0"/>
        <w:jc w:val="both"/>
      </w:pPr>
      <w:r>
        <w:rPr>
          <w:rFonts w:ascii="Times New Roman"/>
          <w:b w:val="false"/>
          <w:i w:val="false"/>
          <w:color w:val="000000"/>
          <w:sz w:val="28"/>
        </w:rPr>
        <w:t xml:space="preserve">
      2. Активы клиентов внешнего управляющего под его управлением за последние 5 лет, в том числе: </w:t>
      </w:r>
    </w:p>
    <w:bookmarkEnd w:id="72"/>
    <w:p>
      <w:pPr>
        <w:spacing w:after="0"/>
        <w:ind w:left="0"/>
        <w:jc w:val="both"/>
      </w:pPr>
      <w:r>
        <w:rPr>
          <w:rFonts w:ascii="Times New Roman"/>
          <w:b w:val="false"/>
          <w:i w:val="false"/>
          <w:color w:val="000000"/>
          <w:sz w:val="28"/>
        </w:rPr>
        <w:t>
      1) общие активы под управлением;</w:t>
      </w:r>
    </w:p>
    <w:p>
      <w:pPr>
        <w:spacing w:after="0"/>
        <w:ind w:left="0"/>
        <w:jc w:val="both"/>
      </w:pPr>
      <w:r>
        <w:rPr>
          <w:rFonts w:ascii="Times New Roman"/>
          <w:b w:val="false"/>
          <w:i w:val="false"/>
          <w:color w:val="000000"/>
          <w:sz w:val="28"/>
        </w:rPr>
        <w:t xml:space="preserve">
      2) активы по рассматриваемому типу мандата; </w:t>
      </w:r>
    </w:p>
    <w:p>
      <w:pPr>
        <w:spacing w:after="0"/>
        <w:ind w:left="0"/>
        <w:jc w:val="both"/>
      </w:pPr>
      <w:r>
        <w:rPr>
          <w:rFonts w:ascii="Times New Roman"/>
          <w:b w:val="false"/>
          <w:i w:val="false"/>
          <w:color w:val="000000"/>
          <w:sz w:val="28"/>
        </w:rPr>
        <w:t>
      3) активы институциональных клиентов;</w:t>
      </w:r>
    </w:p>
    <w:p>
      <w:pPr>
        <w:spacing w:after="0"/>
        <w:ind w:left="0"/>
        <w:jc w:val="both"/>
      </w:pPr>
      <w:r>
        <w:rPr>
          <w:rFonts w:ascii="Times New Roman"/>
          <w:b w:val="false"/>
          <w:i w:val="false"/>
          <w:color w:val="000000"/>
          <w:sz w:val="28"/>
        </w:rPr>
        <w:t>
      4) активы центральных банков.</w:t>
      </w:r>
    </w:p>
    <w:bookmarkStart w:name="z77" w:id="73"/>
    <w:p>
      <w:pPr>
        <w:spacing w:after="0"/>
        <w:ind w:left="0"/>
        <w:jc w:val="both"/>
      </w:pPr>
      <w:r>
        <w:rPr>
          <w:rFonts w:ascii="Times New Roman"/>
          <w:b w:val="false"/>
          <w:i w:val="false"/>
          <w:color w:val="000000"/>
          <w:sz w:val="28"/>
        </w:rPr>
        <w:t xml:space="preserve">
      3. Информация о портфельных менеджерах и менеджерах по связям с клиентами, которые будут ответственными за активы, переданные во внешнее управление. </w:t>
      </w:r>
    </w:p>
    <w:bookmarkEnd w:id="73"/>
    <w:bookmarkStart w:name="z78" w:id="74"/>
    <w:p>
      <w:pPr>
        <w:spacing w:after="0"/>
        <w:ind w:left="0"/>
        <w:jc w:val="both"/>
      </w:pPr>
      <w:r>
        <w:rPr>
          <w:rFonts w:ascii="Times New Roman"/>
          <w:b w:val="false"/>
          <w:i w:val="false"/>
          <w:color w:val="000000"/>
          <w:sz w:val="28"/>
        </w:rPr>
        <w:t xml:space="preserve">
      4. Информация о текучести персонала за последние 5 лет среди портфельных менеджеров и аналитиков. </w:t>
      </w:r>
    </w:p>
    <w:bookmarkEnd w:id="74"/>
    <w:bookmarkStart w:name="z79" w:id="75"/>
    <w:p>
      <w:pPr>
        <w:spacing w:after="0"/>
        <w:ind w:left="0"/>
        <w:jc w:val="both"/>
      </w:pPr>
      <w:r>
        <w:rPr>
          <w:rFonts w:ascii="Times New Roman"/>
          <w:b w:val="false"/>
          <w:i w:val="false"/>
          <w:color w:val="000000"/>
          <w:sz w:val="28"/>
        </w:rPr>
        <w:t xml:space="preserve">
      5. Подробное описание инвестиционного процесса, методов управления портфелем, исследования рынка, используемые источники финансовой информации или модели оценки финансовых инструментов. </w:t>
      </w:r>
    </w:p>
    <w:bookmarkEnd w:id="75"/>
    <w:bookmarkStart w:name="z80" w:id="76"/>
    <w:p>
      <w:pPr>
        <w:spacing w:after="0"/>
        <w:ind w:left="0"/>
        <w:jc w:val="both"/>
      </w:pPr>
      <w:r>
        <w:rPr>
          <w:rFonts w:ascii="Times New Roman"/>
          <w:b w:val="false"/>
          <w:i w:val="false"/>
          <w:color w:val="000000"/>
          <w:sz w:val="28"/>
        </w:rPr>
        <w:t xml:space="preserve">
      6. Каким образом осуществляется моделирование, мониторинг и управление активным рыночным риском (в случае, если рассматриваемый тип мандата относится к активному управлению). </w:t>
      </w:r>
    </w:p>
    <w:bookmarkEnd w:id="76"/>
    <w:bookmarkStart w:name="z81" w:id="77"/>
    <w:p>
      <w:pPr>
        <w:spacing w:after="0"/>
        <w:ind w:left="0"/>
        <w:jc w:val="both"/>
      </w:pPr>
      <w:r>
        <w:rPr>
          <w:rFonts w:ascii="Times New Roman"/>
          <w:b w:val="false"/>
          <w:i w:val="false"/>
          <w:color w:val="000000"/>
          <w:sz w:val="28"/>
        </w:rPr>
        <w:t xml:space="preserve">
      7. Наличие специализированного программного обеспечения по мониторингу и управлению рисками. </w:t>
      </w:r>
    </w:p>
    <w:bookmarkEnd w:id="77"/>
    <w:bookmarkStart w:name="z82" w:id="78"/>
    <w:p>
      <w:pPr>
        <w:spacing w:after="0"/>
        <w:ind w:left="0"/>
        <w:jc w:val="both"/>
      </w:pPr>
      <w:r>
        <w:rPr>
          <w:rFonts w:ascii="Times New Roman"/>
          <w:b w:val="false"/>
          <w:i w:val="false"/>
          <w:color w:val="000000"/>
          <w:sz w:val="28"/>
        </w:rPr>
        <w:t xml:space="preserve">
      8. Исторические результаты управления портфелем по аналогичному типу мандата за последние 5 лет с аналогичным или близким по типу эталонным портфелем. </w:t>
      </w:r>
    </w:p>
    <w:bookmarkEnd w:id="78"/>
    <w:bookmarkStart w:name="z83" w:id="79"/>
    <w:p>
      <w:pPr>
        <w:spacing w:after="0"/>
        <w:ind w:left="0"/>
        <w:jc w:val="both"/>
      </w:pPr>
      <w:r>
        <w:rPr>
          <w:rFonts w:ascii="Times New Roman"/>
          <w:b w:val="false"/>
          <w:i w:val="false"/>
          <w:color w:val="000000"/>
          <w:sz w:val="28"/>
        </w:rPr>
        <w:t xml:space="preserve">
      9. Описание программного обеспечения, используемого для расчета доходности, риска, применяемого в бухгалтерской и аналитической отчетности. </w:t>
      </w:r>
    </w:p>
    <w:bookmarkEnd w:id="79"/>
    <w:bookmarkStart w:name="z84" w:id="80"/>
    <w:p>
      <w:pPr>
        <w:spacing w:after="0"/>
        <w:ind w:left="0"/>
        <w:jc w:val="both"/>
      </w:pPr>
      <w:r>
        <w:rPr>
          <w:rFonts w:ascii="Times New Roman"/>
          <w:b w:val="false"/>
          <w:i w:val="false"/>
          <w:color w:val="000000"/>
          <w:sz w:val="28"/>
        </w:rPr>
        <w:t xml:space="preserve">
      10. Описание внутренней корпоративной этики. </w:t>
      </w:r>
    </w:p>
    <w:bookmarkEnd w:id="80"/>
    <w:bookmarkStart w:name="z85" w:id="81"/>
    <w:p>
      <w:pPr>
        <w:spacing w:after="0"/>
        <w:ind w:left="0"/>
        <w:jc w:val="both"/>
      </w:pPr>
      <w:r>
        <w:rPr>
          <w:rFonts w:ascii="Times New Roman"/>
          <w:b w:val="false"/>
          <w:i w:val="false"/>
          <w:color w:val="000000"/>
          <w:sz w:val="28"/>
        </w:rPr>
        <w:t xml:space="preserve">
      11. Ответственность внешнего управляющего перед Национальным Банком в случае нарушения условий соглашения о передаче активов Фонда во внешнее управление. </w:t>
      </w:r>
    </w:p>
    <w:bookmarkEnd w:id="81"/>
    <w:bookmarkStart w:name="z86" w:id="82"/>
    <w:p>
      <w:pPr>
        <w:spacing w:after="0"/>
        <w:ind w:left="0"/>
        <w:jc w:val="both"/>
      </w:pPr>
      <w:r>
        <w:rPr>
          <w:rFonts w:ascii="Times New Roman"/>
          <w:b w:val="false"/>
          <w:i w:val="false"/>
          <w:color w:val="000000"/>
          <w:sz w:val="28"/>
        </w:rPr>
        <w:t xml:space="preserve">
      12. Какие виды страхования используются для защиты клиента от ошибок внешнего управляющего. </w:t>
      </w:r>
    </w:p>
    <w:bookmarkEnd w:id="82"/>
    <w:bookmarkStart w:name="z87" w:id="83"/>
    <w:p>
      <w:pPr>
        <w:spacing w:after="0"/>
        <w:ind w:left="0"/>
        <w:jc w:val="both"/>
      </w:pPr>
      <w:r>
        <w:rPr>
          <w:rFonts w:ascii="Times New Roman"/>
          <w:b w:val="false"/>
          <w:i w:val="false"/>
          <w:color w:val="000000"/>
          <w:sz w:val="28"/>
        </w:rPr>
        <w:t xml:space="preserve">
      13. Кредитный рейтинг головной организации (если имеется), возможность внешнего управляющего предоставить гарантию его головной организации о компенсации ущерба при невыполнении внешним управляющим условий соглашения о передаче активов Фонда во внешнее управление, либо возможность подписания соглашения о передаче активов Фонда во внешнее управление непосредственно с головной организацией, либо в виде трехстороннего соглашения между Национальным Банком, внешним управляющим и его головной организацией. </w:t>
      </w:r>
    </w:p>
    <w:bookmarkEnd w:id="83"/>
    <w:bookmarkStart w:name="z88" w:id="84"/>
    <w:p>
      <w:pPr>
        <w:spacing w:after="0"/>
        <w:ind w:left="0"/>
        <w:jc w:val="both"/>
      </w:pPr>
      <w:r>
        <w:rPr>
          <w:rFonts w:ascii="Times New Roman"/>
          <w:b w:val="false"/>
          <w:i w:val="false"/>
          <w:color w:val="000000"/>
          <w:sz w:val="28"/>
        </w:rPr>
        <w:t xml:space="preserve">
      14. Условия предоставляемого для клиентов тренинга. </w:t>
      </w:r>
    </w:p>
    <w:bookmarkEnd w:id="84"/>
    <w:bookmarkStart w:name="z89" w:id="85"/>
    <w:p>
      <w:pPr>
        <w:spacing w:after="0"/>
        <w:ind w:left="0"/>
        <w:jc w:val="both"/>
      </w:pPr>
      <w:r>
        <w:rPr>
          <w:rFonts w:ascii="Times New Roman"/>
          <w:b w:val="false"/>
          <w:i w:val="false"/>
          <w:color w:val="000000"/>
          <w:sz w:val="28"/>
        </w:rPr>
        <w:t xml:space="preserve">
      15. Информация о предполагаемом уровне комиссионного вознаграждения за внешнее управление. </w:t>
      </w:r>
    </w:p>
    <w:bookmarkEnd w:id="85"/>
    <w:bookmarkStart w:name="z90" w:id="86"/>
    <w:p>
      <w:pPr>
        <w:spacing w:after="0"/>
        <w:ind w:left="0"/>
        <w:jc w:val="both"/>
      </w:pPr>
      <w:r>
        <w:rPr>
          <w:rFonts w:ascii="Times New Roman"/>
          <w:b w:val="false"/>
          <w:i w:val="false"/>
          <w:color w:val="000000"/>
          <w:sz w:val="28"/>
        </w:rPr>
        <w:t xml:space="preserve">
      16. Последнее аудиторское заключение финансовой отчетности внешнего управляющего. </w:t>
      </w:r>
    </w:p>
    <w:bookmarkEnd w:id="86"/>
    <w:bookmarkStart w:name="z91" w:id="87"/>
    <w:p>
      <w:pPr>
        <w:spacing w:after="0"/>
        <w:ind w:left="0"/>
        <w:jc w:val="both"/>
      </w:pPr>
      <w:r>
        <w:rPr>
          <w:rFonts w:ascii="Times New Roman"/>
          <w:b w:val="false"/>
          <w:i w:val="false"/>
          <w:color w:val="000000"/>
          <w:sz w:val="28"/>
        </w:rPr>
        <w:t xml:space="preserve">
      17. Внутренние политики и процедуры внешнего управляющего, снижающие риск злоупотреблений и конфликта интересов, в том числе обеспечение равноправного и справедливого распределения сделок среди портфелей клиентов, проверка списка и процедуры утверждения брокеров, агентов и контрпартнеров внешнего управляющего.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w:t>
            </w:r>
            <w:r>
              <w:br/>
            </w:r>
            <w:r>
              <w:rPr>
                <w:rFonts w:ascii="Times New Roman"/>
                <w:b w:val="false"/>
                <w:i w:val="false"/>
                <w:color w:val="000000"/>
                <w:sz w:val="20"/>
              </w:rPr>
              <w:t>внешних управляющих активами</w:t>
            </w:r>
            <w:r>
              <w:br/>
            </w:r>
            <w:r>
              <w:rPr>
                <w:rFonts w:ascii="Times New Roman"/>
                <w:b w:val="false"/>
                <w:i w:val="false"/>
                <w:color w:val="000000"/>
                <w:sz w:val="20"/>
              </w:rPr>
              <w:t>Национального фонда Республики Казахстан</w:t>
            </w:r>
          </w:p>
        </w:tc>
      </w:tr>
    </w:tbl>
    <w:bookmarkStart w:name="z93" w:id="88"/>
    <w:p>
      <w:pPr>
        <w:spacing w:after="0"/>
        <w:ind w:left="0"/>
        <w:jc w:val="left"/>
      </w:pPr>
      <w:r>
        <w:rPr>
          <w:rFonts w:ascii="Times New Roman"/>
          <w:b/>
          <w:i w:val="false"/>
          <w:color w:val="000000"/>
        </w:rPr>
        <w:t xml:space="preserve"> Оценочные критерии для сравнительного анализа</w:t>
      </w:r>
      <w:r>
        <w:br/>
      </w:r>
      <w:r>
        <w:rPr>
          <w:rFonts w:ascii="Times New Roman"/>
          <w:b/>
          <w:i w:val="false"/>
          <w:color w:val="000000"/>
        </w:rPr>
        <w:t>предложений внешних управляющих</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997"/>
        <w:gridCol w:w="71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критерия</w:t>
            </w:r>
          </w:p>
          <w:p>
            <w:pPr>
              <w:spacing w:after="20"/>
              <w:ind w:left="20"/>
              <w:jc w:val="both"/>
            </w:pPr>
            <w:r>
              <w:rPr>
                <w:rFonts w:ascii="Times New Roman"/>
                <w:b w:val="false"/>
                <w:i w:val="false"/>
                <w:color w:val="000000"/>
                <w:sz w:val="20"/>
              </w:rPr>
              <w:t>
(в процентах)</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результаты управления портфелем (при проведении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показатели нормируются в зависимости от охвата соответствующего мандата)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показатель сверхдоходности за последние 3-5 лет (в случае если показатель сверхдоходности за период менее 5 лет положительный, показатель нормируется относительно периода в 5 лет)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показатель информационного коэффициента за последние 3-5 лет (в случае если показатель информационного коэффициента за период менее 5 лет положительный, показатель нормируется относительно периода в 5 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по данному типу мандата к общим активам под управлением (при проведении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используется объем активов по региональным мандатам. Данное значение нормируется в зависимости от охвата соответствующего мандата)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объема активов институциональных инвесторов к общим активам под управлением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опыт работы портфельных менеджеров и аналитиков, ответственных за управление активами по соответствующему мандату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среди портфельных менеджеров и аналитиков в целом по компании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статус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есть гарантия головной организации, либо соглашение о передаче активов Фонда во внешнее управление подписывается с головной организацией, то кредитный рейтинг головной организации (S&amp;P или Moody's) либо кредитный рейтинг потенциального внешнего управляющего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комиссионного вознаграждения за управление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базового комиссионного вознаграждения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принципа выплаты комиссионного вознаграждения по результатам внешнего управления в случае достижения положительной сверхдоходности, превышающей аналогичные показатели за прошлые периоды со дня начала управления внешним управляющим (net new high basis since inception)</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минимального порога сверхдоходности, с которого начинается расчет комиссионного вознаграждения по результатам внешнего управления, не ниже базового комиссионного вознаграждения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условия оплаты комиссионного вознаграждения по результатам внешнего управления в течение нескольких лет по частям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работников Национального Банка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отчетность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программного обеспечения по мониторингу и управлению рисками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ответственности перед Национальным Банком в случае нарушения условий соглашения о передаче активов Фонда во внешнее управление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w:t>
            </w:r>
            <w:r>
              <w:br/>
            </w:r>
            <w:r>
              <w:rPr>
                <w:rFonts w:ascii="Times New Roman"/>
                <w:b w:val="false"/>
                <w:i w:val="false"/>
                <w:color w:val="000000"/>
                <w:sz w:val="20"/>
              </w:rPr>
              <w:t>внешних управляющих активами</w:t>
            </w:r>
            <w:r>
              <w:br/>
            </w:r>
            <w:r>
              <w:rPr>
                <w:rFonts w:ascii="Times New Roman"/>
                <w:b w:val="false"/>
                <w:i w:val="false"/>
                <w:color w:val="000000"/>
                <w:sz w:val="20"/>
              </w:rPr>
              <w:t>Национального фонда Республики Казахстан</w:t>
            </w:r>
          </w:p>
        </w:tc>
      </w:tr>
    </w:tbl>
    <w:bookmarkStart w:name="z95" w:id="89"/>
    <w:p>
      <w:pPr>
        <w:spacing w:after="0"/>
        <w:ind w:left="0"/>
        <w:jc w:val="left"/>
      </w:pPr>
      <w:r>
        <w:rPr>
          <w:rFonts w:ascii="Times New Roman"/>
          <w:b/>
          <w:i w:val="false"/>
          <w:color w:val="000000"/>
        </w:rPr>
        <w:t xml:space="preserve"> Оценка предложения внешнего управляющего</w:t>
      </w:r>
      <w:r>
        <w:br/>
      </w:r>
      <w:r>
        <w:rPr>
          <w:rFonts w:ascii="Times New Roman"/>
          <w:b/>
          <w:i w:val="false"/>
          <w:color w:val="000000"/>
        </w:rPr>
        <w:t>в соответствии с таблицей оценочных критериев</w:t>
      </w:r>
    </w:p>
    <w:bookmarkEnd w:id="89"/>
    <w:bookmarkStart w:name="z96" w:id="90"/>
    <w:p>
      <w:pPr>
        <w:spacing w:after="0"/>
        <w:ind w:left="0"/>
        <w:jc w:val="both"/>
      </w:pPr>
      <w:r>
        <w:rPr>
          <w:rFonts w:ascii="Times New Roman"/>
          <w:b w:val="false"/>
          <w:i w:val="false"/>
          <w:color w:val="000000"/>
          <w:sz w:val="28"/>
        </w:rPr>
        <w:t>
      1. Оценкой предложения внешнего управляющего служит сумма всех показателей, приведенных в таблице оценочных критериев (далее – Таблица) с соответствующими весами.</w:t>
      </w:r>
    </w:p>
    <w:bookmarkEnd w:id="90"/>
    <w:bookmarkStart w:name="z97" w:id="91"/>
    <w:p>
      <w:pPr>
        <w:spacing w:after="0"/>
        <w:ind w:left="0"/>
        <w:jc w:val="both"/>
      </w:pPr>
      <w:r>
        <w:rPr>
          <w:rFonts w:ascii="Times New Roman"/>
          <w:b w:val="false"/>
          <w:i w:val="false"/>
          <w:color w:val="000000"/>
          <w:sz w:val="28"/>
        </w:rPr>
        <w:t>
      2. Перед тем, как тот или иной показатель будет внесен в Таблицу, показатель нормируется относительно лучшего показателя в рассматриваемом критерии с использованием формулы:</w:t>
      </w:r>
    </w:p>
    <w:bookmarkEnd w:id="91"/>
    <w:p>
      <w:pPr>
        <w:spacing w:after="0"/>
        <w:ind w:left="0"/>
        <w:jc w:val="both"/>
      </w:pPr>
      <w:r>
        <w:rPr>
          <w:rFonts w:ascii="Times New Roman"/>
          <w:b w:val="false"/>
          <w:i w:val="false"/>
          <w:color w:val="000000"/>
          <w:sz w:val="28"/>
        </w:rPr>
        <w:t xml:space="preserve">
      Нормированный показатель управляющего – это отношение показателя управляющего к максимальному значению показателя по всем внешним управляющим. </w:t>
      </w:r>
    </w:p>
    <w:bookmarkStart w:name="z98" w:id="92"/>
    <w:p>
      <w:pPr>
        <w:spacing w:after="0"/>
        <w:ind w:left="0"/>
        <w:jc w:val="both"/>
      </w:pPr>
      <w:r>
        <w:rPr>
          <w:rFonts w:ascii="Times New Roman"/>
          <w:b w:val="false"/>
          <w:i w:val="false"/>
          <w:color w:val="000000"/>
          <w:sz w:val="28"/>
        </w:rPr>
        <w:t>
      3. При оценке кредитного рейтинга головной организации и(или) внешнего управляющего используется следующая система показателей: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p>
            <w:pPr>
              <w:spacing w:after="20"/>
              <w:ind w:left="20"/>
              <w:jc w:val="both"/>
            </w:pPr>
            <w:r>
              <w:rPr>
                <w:rFonts w:ascii="Times New Roman"/>
                <w:b w:val="false"/>
                <w:i w:val="false"/>
                <w:color w:val="000000"/>
                <w:sz w:val="20"/>
              </w:rPr>
              <w:t>
(S&amp;P)</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3"/>
    <w:p>
      <w:pPr>
        <w:spacing w:after="0"/>
        <w:ind w:left="0"/>
        <w:jc w:val="both"/>
      </w:pPr>
      <w:r>
        <w:rPr>
          <w:rFonts w:ascii="Times New Roman"/>
          <w:b w:val="false"/>
          <w:i w:val="false"/>
          <w:color w:val="000000"/>
          <w:sz w:val="28"/>
        </w:rPr>
        <w:t>
      4. При оценке обучения работников Национального Банка и Министерства финансов используется следующая система показателей: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6"/>
        <w:gridCol w:w="5334"/>
      </w:tblGrid>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тренинга</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перелет, проживание, питание</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 питание</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00" w:id="94"/>
    <w:p>
      <w:pPr>
        <w:spacing w:after="0"/>
        <w:ind w:left="0"/>
        <w:jc w:val="both"/>
      </w:pPr>
      <w:r>
        <w:rPr>
          <w:rFonts w:ascii="Times New Roman"/>
          <w:b w:val="false"/>
          <w:i w:val="false"/>
          <w:color w:val="000000"/>
          <w:sz w:val="28"/>
        </w:rPr>
        <w:t>
      5. Если внешний управляющий управляет активами по объявленному типу мандата в рамках другого мандата, то осуществляется оценка исторических результатов управления данными активами в рамках другого мандата.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w:t>
            </w:r>
            <w:r>
              <w:br/>
            </w:r>
            <w:r>
              <w:rPr>
                <w:rFonts w:ascii="Times New Roman"/>
                <w:b w:val="false"/>
                <w:i w:val="false"/>
                <w:color w:val="000000"/>
                <w:sz w:val="20"/>
              </w:rPr>
              <w:t>внешних управляющих активами</w:t>
            </w:r>
            <w:r>
              <w:br/>
            </w:r>
            <w:r>
              <w:rPr>
                <w:rFonts w:ascii="Times New Roman"/>
                <w:b w:val="false"/>
                <w:i w:val="false"/>
                <w:color w:val="000000"/>
                <w:sz w:val="20"/>
              </w:rPr>
              <w:t>Национального фонда Республики Казахстан</w:t>
            </w:r>
          </w:p>
        </w:tc>
      </w:tr>
    </w:tbl>
    <w:bookmarkStart w:name="z102" w:id="95"/>
    <w:p>
      <w:pPr>
        <w:spacing w:after="0"/>
        <w:ind w:left="0"/>
        <w:jc w:val="left"/>
      </w:pPr>
      <w:r>
        <w:rPr>
          <w:rFonts w:ascii="Times New Roman"/>
          <w:b/>
          <w:i w:val="false"/>
          <w:color w:val="000000"/>
        </w:rPr>
        <w:t xml:space="preserve"> Методика</w:t>
      </w:r>
      <w:r>
        <w:br/>
      </w:r>
      <w:r>
        <w:rPr>
          <w:rFonts w:ascii="Times New Roman"/>
          <w:b/>
          <w:i w:val="false"/>
          <w:color w:val="000000"/>
        </w:rPr>
        <w:t>оценки эффективности работы внешнего управляющего</w:t>
      </w:r>
    </w:p>
    <w:bookmarkEnd w:id="95"/>
    <w:bookmarkStart w:name="z103" w:id="96"/>
    <w:p>
      <w:pPr>
        <w:spacing w:after="0"/>
        <w:ind w:left="0"/>
        <w:jc w:val="both"/>
      </w:pPr>
      <w:r>
        <w:rPr>
          <w:rFonts w:ascii="Times New Roman"/>
          <w:b w:val="false"/>
          <w:i w:val="false"/>
          <w:color w:val="000000"/>
          <w:sz w:val="28"/>
        </w:rPr>
        <w:t xml:space="preserve">
      1. Оценка эффективности работы внешнего управляющего осуществляется путем присвоения баллов внешнему управляющему в соответствии с количественными и качественными показателями, предусмотренными настоящей Методикой. </w:t>
      </w:r>
    </w:p>
    <w:bookmarkEnd w:id="96"/>
    <w:bookmarkStart w:name="z104" w:id="97"/>
    <w:p>
      <w:pPr>
        <w:spacing w:after="0"/>
        <w:ind w:left="0"/>
        <w:jc w:val="both"/>
      </w:pPr>
      <w:r>
        <w:rPr>
          <w:rFonts w:ascii="Times New Roman"/>
          <w:b w:val="false"/>
          <w:i w:val="false"/>
          <w:color w:val="000000"/>
          <w:sz w:val="28"/>
        </w:rPr>
        <w:t xml:space="preserve">
      2. Количественные показатели: </w:t>
      </w:r>
    </w:p>
    <w:bookmarkEnd w:id="97"/>
    <w:p>
      <w:pPr>
        <w:spacing w:after="0"/>
        <w:ind w:left="0"/>
        <w:jc w:val="both"/>
      </w:pPr>
      <w:r>
        <w:rPr>
          <w:rFonts w:ascii="Times New Roman"/>
          <w:b w:val="false"/>
          <w:i w:val="false"/>
          <w:color w:val="000000"/>
          <w:sz w:val="28"/>
        </w:rPr>
        <w:t xml:space="preserve">
      1) Информационный коэффициент (Information ratio)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7269"/>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коэффициент</w:t>
            </w:r>
          </w:p>
          <w:p>
            <w:pPr>
              <w:spacing w:after="20"/>
              <w:ind w:left="20"/>
              <w:jc w:val="both"/>
            </w:pPr>
            <w:r>
              <w:rPr>
                <w:rFonts w:ascii="Times New Roman"/>
                <w:b w:val="false"/>
                <w:i w:val="false"/>
                <w:color w:val="000000"/>
                <w:sz w:val="20"/>
              </w:rPr>
              <w:t>
(Information ratio)</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балла</w:t>
            </w:r>
          </w:p>
        </w:tc>
      </w:tr>
    </w:tbl>
    <w:bookmarkStart w:name="z105" w:id="98"/>
    <w:p>
      <w:pPr>
        <w:spacing w:after="0"/>
        <w:ind w:left="0"/>
        <w:jc w:val="both"/>
      </w:pPr>
      <w:r>
        <w:rPr>
          <w:rFonts w:ascii="Times New Roman"/>
          <w:b w:val="false"/>
          <w:i w:val="false"/>
          <w:color w:val="000000"/>
          <w:sz w:val="28"/>
        </w:rPr>
        <w:t xml:space="preserve">
      3. Качественные показатели: </w:t>
      </w:r>
    </w:p>
    <w:bookmarkEnd w:id="98"/>
    <w:p>
      <w:pPr>
        <w:spacing w:after="0"/>
        <w:ind w:left="0"/>
        <w:jc w:val="both"/>
      </w:pPr>
      <w:r>
        <w:rPr>
          <w:rFonts w:ascii="Times New Roman"/>
          <w:b w:val="false"/>
          <w:i w:val="false"/>
          <w:color w:val="000000"/>
          <w:sz w:val="28"/>
        </w:rPr>
        <w:t xml:space="preserve">
      1) Передвижения персонала (Staff turnover);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87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персонала</w:t>
            </w:r>
          </w:p>
          <w:p>
            <w:pPr>
              <w:spacing w:after="20"/>
              <w:ind w:left="20"/>
              <w:jc w:val="both"/>
            </w:pPr>
            <w:r>
              <w:rPr>
                <w:rFonts w:ascii="Times New Roman"/>
                <w:b w:val="false"/>
                <w:i w:val="false"/>
                <w:color w:val="000000"/>
                <w:sz w:val="20"/>
              </w:rPr>
              <w:t>
(Staff turnover)</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балла</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tc>
      </w:tr>
    </w:tbl>
    <w:p>
      <w:pPr>
        <w:spacing w:after="0"/>
        <w:ind w:left="0"/>
        <w:jc w:val="both"/>
      </w:pPr>
      <w:r>
        <w:rPr>
          <w:rFonts w:ascii="Times New Roman"/>
          <w:b w:val="false"/>
          <w:i w:val="false"/>
          <w:color w:val="000000"/>
          <w:sz w:val="28"/>
        </w:rPr>
        <w:t xml:space="preserve">
      2) Операционный риск (Operational risk). </w:t>
      </w:r>
    </w:p>
    <w:p>
      <w:pPr>
        <w:spacing w:after="0"/>
        <w:ind w:left="0"/>
        <w:jc w:val="both"/>
      </w:pPr>
      <w:r>
        <w:rPr>
          <w:rFonts w:ascii="Times New Roman"/>
          <w:b w:val="false"/>
          <w:i w:val="false"/>
          <w:color w:val="000000"/>
          <w:sz w:val="28"/>
        </w:rPr>
        <w:t>
      За каждый факт нарушения Правил осуществления инвестиционных операций Фонда вследствие операционной ошибки из оценки отнимается 0,2 балла;</w:t>
      </w:r>
    </w:p>
    <w:p>
      <w:pPr>
        <w:spacing w:after="0"/>
        <w:ind w:left="0"/>
        <w:jc w:val="both"/>
      </w:pPr>
      <w:r>
        <w:rPr>
          <w:rFonts w:ascii="Times New Roman"/>
          <w:b w:val="false"/>
          <w:i w:val="false"/>
          <w:color w:val="000000"/>
          <w:sz w:val="28"/>
        </w:rPr>
        <w:t>
      3) Соблюдение деловой этики (compliance with a Code of Business Ethics).</w:t>
      </w:r>
    </w:p>
    <w:p>
      <w:pPr>
        <w:spacing w:after="0"/>
        <w:ind w:left="0"/>
        <w:jc w:val="both"/>
      </w:pPr>
      <w:r>
        <w:rPr>
          <w:rFonts w:ascii="Times New Roman"/>
          <w:b w:val="false"/>
          <w:i w:val="false"/>
          <w:color w:val="000000"/>
          <w:sz w:val="28"/>
        </w:rPr>
        <w:t>
      За каждый факт нарушения внешним управляющим деловой этики из оценки отнимается 0,5 балла.</w:t>
      </w:r>
    </w:p>
    <w:p>
      <w:pPr>
        <w:spacing w:after="0"/>
        <w:ind w:left="0"/>
        <w:jc w:val="both"/>
      </w:pPr>
      <w:r>
        <w:rPr>
          <w:rFonts w:ascii="Times New Roman"/>
          <w:b w:val="false"/>
          <w:i w:val="false"/>
          <w:color w:val="000000"/>
          <w:sz w:val="28"/>
        </w:rPr>
        <w:t>
      При систематическом несвоевременном исполнении поручений клиента из оценки отнимается 0,5 балла.</w:t>
      </w:r>
    </w:p>
    <w:bookmarkStart w:name="z106" w:id="99"/>
    <w:p>
      <w:pPr>
        <w:spacing w:after="0"/>
        <w:ind w:left="0"/>
        <w:jc w:val="both"/>
      </w:pPr>
      <w:r>
        <w:rPr>
          <w:rFonts w:ascii="Times New Roman"/>
          <w:b w:val="false"/>
          <w:i w:val="false"/>
          <w:color w:val="000000"/>
          <w:sz w:val="28"/>
        </w:rPr>
        <w:t xml:space="preserve">
      4. Итоговая оценка эффективности рассчитывается как сумма количественных и качественных показателей.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126</w:t>
            </w:r>
          </w:p>
        </w:tc>
      </w:tr>
    </w:tbl>
    <w:bookmarkStart w:name="z108" w:id="100"/>
    <w:p>
      <w:pPr>
        <w:spacing w:after="0"/>
        <w:ind w:left="0"/>
        <w:jc w:val="left"/>
      </w:pPr>
      <w:r>
        <w:rPr>
          <w:rFonts w:ascii="Times New Roman"/>
          <w:b/>
          <w:i w:val="false"/>
          <w:color w:val="000000"/>
        </w:rPr>
        <w:t xml:space="preserve"> Перечень утративших силу некоторых нормативных правовых актов</w:t>
      </w:r>
      <w:r>
        <w:br/>
      </w:r>
      <w:r>
        <w:rPr>
          <w:rFonts w:ascii="Times New Roman"/>
          <w:b/>
          <w:i w:val="false"/>
          <w:color w:val="000000"/>
        </w:rPr>
        <w:t>Республики Казахстан</w:t>
      </w:r>
    </w:p>
    <w:bookmarkEnd w:id="100"/>
    <w:bookmarkStart w:name="z109"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4360). </w:t>
      </w:r>
    </w:p>
    <w:bookmarkEnd w:id="101"/>
    <w:bookmarkStart w:name="z110"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апреля 2007 года № 48 "О внесении дополнений 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4701). </w:t>
      </w:r>
    </w:p>
    <w:bookmarkEnd w:id="102"/>
    <w:bookmarkStart w:name="z111"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2009 года № 105 "О внесении изменений и дополнений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6010). </w:t>
      </w:r>
    </w:p>
    <w:bookmarkEnd w:id="103"/>
    <w:bookmarkStart w:name="z112"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мая 2010 года № 43 "О внесении дополнений 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6323). </w:t>
      </w:r>
    </w:p>
    <w:bookmarkEnd w:id="104"/>
    <w:bookmarkStart w:name="z113"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апреля 2011 года № 46 "О внесении изменений и дополнений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7010). </w:t>
      </w:r>
    </w:p>
    <w:bookmarkEnd w:id="105"/>
    <w:bookmarkStart w:name="z114"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2011 года № 202 "О внесении изменений и дополнений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7428, опубликованное 14 апреля 2012 года в газете "Казахстанская правда" № 102-103 (26921-26922). </w:t>
      </w:r>
    </w:p>
    <w:bookmarkEnd w:id="106"/>
    <w:bookmarkStart w:name="z115" w:id="1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162 "О внесении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7779, опубликованное 23 августа 2012 года в газете "Казахстанская правда" № 282-283 (27101-27102). </w:t>
      </w:r>
    </w:p>
    <w:bookmarkEnd w:id="107"/>
    <w:bookmarkStart w:name="z116" w:id="1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мая 2012 года № 181 "О внесении изменений и дополнений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7803, опубликованное 29 августа 2012 года в газете "Казахстанская правда" № 290-291 (27109-27110). </w:t>
      </w:r>
    </w:p>
    <w:bookmarkEnd w:id="108"/>
    <w:bookmarkStart w:name="z117" w:id="1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2014 года № 253 "О внесении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10237, опубликованное 28 марта 2015 года в газете "Казахстанская правда" № 56 (27932). </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