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fffa6" w14:textId="18fff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Министра охраны окружающей среды Республики Казахстан и Министра энергетики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энергетики Республики Казахстан от 2 июня 2016 года № 233. Зарегистрирован в Министерстве юстиции Республики Казахстан 5 июля 2016 года № 13878. Утратил силу приказом и.о. Министра экологии, геологии и природных ресурсов Республики Казахстан от 4 августа 2021 года № 289</w:t>
      </w:r>
    </w:p>
    <w:p>
      <w:pPr>
        <w:spacing w:after="0"/>
        <w:ind w:left="0"/>
        <w:jc w:val="both"/>
      </w:pPr>
      <w:r>
        <w:rPr>
          <w:rFonts w:ascii="Times New Roman"/>
          <w:b w:val="false"/>
          <w:i w:val="false"/>
          <w:color w:val="ff0000"/>
          <w:sz w:val="28"/>
        </w:rPr>
        <w:t xml:space="preserve">
      Сноска. Утратил силу приказом и.о. Министра экологии, геологии и природных ресурсов РК от 04.08.2021 </w:t>
      </w:r>
      <w:r>
        <w:rPr>
          <w:rFonts w:ascii="Times New Roman"/>
          <w:b w:val="false"/>
          <w:i w:val="false"/>
          <w:color w:val="ff0000"/>
          <w:sz w:val="28"/>
        </w:rPr>
        <w:t>№ 289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27</w:t>
      </w:r>
      <w:r>
        <w:rPr>
          <w:rFonts w:ascii="Times New Roman"/>
          <w:b w:val="false"/>
          <w:i w:val="false"/>
          <w:color w:val="000000"/>
          <w:sz w:val="28"/>
        </w:rPr>
        <w:t xml:space="preserve"> и </w:t>
      </w:r>
      <w:r>
        <w:rPr>
          <w:rFonts w:ascii="Times New Roman"/>
          <w:b w:val="false"/>
          <w:i w:val="false"/>
          <w:color w:val="000000"/>
          <w:sz w:val="28"/>
        </w:rPr>
        <w:t>пунктом 2</w:t>
      </w:r>
      <w:r>
        <w:rPr>
          <w:rFonts w:ascii="Times New Roman"/>
          <w:b w:val="false"/>
          <w:i w:val="false"/>
          <w:color w:val="000000"/>
          <w:sz w:val="28"/>
        </w:rPr>
        <w:t xml:space="preserve"> статьи 50 Закона Республики Казахстан от 6 апреля 2016 года "О правовых актах"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1. Внести в некоторые приказы Министра охраны окружающей среды Республики Казахстан и Министра энергетики Республики Казахстан следующие изменения:</w:t>
      </w:r>
    </w:p>
    <w:bookmarkEnd w:id="1"/>
    <w:bookmarkStart w:name="z3" w:id="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приказе</w:t>
      </w:r>
      <w:r>
        <w:rPr>
          <w:rFonts w:ascii="Times New Roman"/>
          <w:b w:val="false"/>
          <w:i w:val="false"/>
          <w:color w:val="000000"/>
          <w:sz w:val="28"/>
        </w:rPr>
        <w:t xml:space="preserve"> Министра охраны окружающей среды Республики Казахстан от 15 мая 2013 года № 122-ө "Об утверждении Формы паспорта установки" (зарегистрированный в Реестре государственной регистрации нормативных правовых актов № 8496, опубликованный в газете "Казахстанская правда" 23 октября 2013 года № 299 (27573)):</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форму паспорта</w:t>
      </w:r>
      <w:r>
        <w:rPr>
          <w:rFonts w:ascii="Times New Roman"/>
          <w:b w:val="false"/>
          <w:i w:val="false"/>
          <w:color w:val="000000"/>
          <w:sz w:val="28"/>
        </w:rPr>
        <w:t xml:space="preserve"> установки, утвержденную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5" w:id="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приказе</w:t>
      </w:r>
      <w:r>
        <w:rPr>
          <w:rFonts w:ascii="Times New Roman"/>
          <w:b w:val="false"/>
          <w:i w:val="false"/>
          <w:color w:val="000000"/>
          <w:sz w:val="28"/>
        </w:rPr>
        <w:t xml:space="preserve"> исполняющего обязанности Министра энергетики Республики Казахстан от 28 июля 2015 года № 502 "Об утверждении форм отчетов об инвентаризации парниковых газов" (зарегистрированный в Реестре государственной регистрации нормативных правовых актов № 11818, опубликованный в информационно-правовой системе "Әділет" от 6 августа 2015 года):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форму отчета</w:t>
      </w:r>
      <w:r>
        <w:rPr>
          <w:rFonts w:ascii="Times New Roman"/>
          <w:b w:val="false"/>
          <w:i w:val="false"/>
          <w:color w:val="000000"/>
          <w:sz w:val="28"/>
        </w:rPr>
        <w:t xml:space="preserve"> об инвентаризации парниковых газов для субъектов распределения квот на выбросы парниковых газов, утвержденную указанным приказом,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форму отчета</w:t>
      </w:r>
      <w:r>
        <w:rPr>
          <w:rFonts w:ascii="Times New Roman"/>
          <w:b w:val="false"/>
          <w:i w:val="false"/>
          <w:color w:val="000000"/>
          <w:sz w:val="28"/>
        </w:rPr>
        <w:t xml:space="preserve"> об инвентаризации парниковых газов для субъектов администрирования, утвержденную указанным приказом,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Start w:name="z8" w:id="4"/>
    <w:p>
      <w:pPr>
        <w:spacing w:after="0"/>
        <w:ind w:left="0"/>
        <w:jc w:val="both"/>
      </w:pPr>
      <w:r>
        <w:rPr>
          <w:rFonts w:ascii="Times New Roman"/>
          <w:b w:val="false"/>
          <w:i w:val="false"/>
          <w:color w:val="000000"/>
          <w:sz w:val="28"/>
        </w:rPr>
        <w:t>
      2. Департаменту по изменению климата Министерства энергетики Республики Казахстан в установленном законодательством Республики Казахстан порядке обеспечить:</w:t>
      </w:r>
    </w:p>
    <w:bookmarkEnd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направление копии настоящего приказа на официальное опубликование в периодические печатные издания и информационно-правовую систему "Әділет" в течение десяти календарных дней после его государственной регистрации в Министерстве юстиции Республики Казахстан, а также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в течение пяти рабочих дней со дня получения зарегистрированного приказа;</w:t>
      </w:r>
    </w:p>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энергетики Республики Казахстан и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2) и 3) настоящего пункта.</w:t>
      </w:r>
    </w:p>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энергетики</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Бозумбаев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Председатель Комитета по статистике   </w:t>
      </w:r>
    </w:p>
    <w:p>
      <w:pPr>
        <w:spacing w:after="0"/>
        <w:ind w:left="0"/>
        <w:jc w:val="both"/>
      </w:pPr>
      <w:r>
        <w:rPr>
          <w:rFonts w:ascii="Times New Roman"/>
          <w:b w:val="false"/>
          <w:i w:val="false"/>
          <w:color w:val="000000"/>
          <w:sz w:val="28"/>
        </w:rPr>
        <w:t xml:space="preserve">
      Министерства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 Н. Айдапкелов   </w:t>
      </w:r>
    </w:p>
    <w:p>
      <w:pPr>
        <w:spacing w:after="0"/>
        <w:ind w:left="0"/>
        <w:jc w:val="both"/>
      </w:pPr>
      <w:r>
        <w:rPr>
          <w:rFonts w:ascii="Times New Roman"/>
          <w:b w:val="false"/>
          <w:i w:val="false"/>
          <w:color w:val="000000"/>
          <w:sz w:val="28"/>
        </w:rPr>
        <w:t>
      6 июня 2016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июня 2016 года № 233</w:t>
            </w:r>
            <w:r>
              <w:br/>
            </w:r>
            <w:r>
              <w:rPr>
                <w:rFonts w:ascii="Times New Roman"/>
                <w:b w:val="false"/>
                <w:i w:val="false"/>
                <w:color w:val="000000"/>
                <w:sz w:val="20"/>
              </w:rPr>
              <w:t>Приложение</w:t>
            </w:r>
            <w:r>
              <w:br/>
            </w:r>
            <w:r>
              <w:rPr>
                <w:rFonts w:ascii="Times New Roman"/>
                <w:b w:val="false"/>
                <w:i w:val="false"/>
                <w:color w:val="000000"/>
                <w:sz w:val="20"/>
              </w:rPr>
              <w:t>к приказу Министра охраны окружающей среды</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мая 2013 года № 122-ө</w:t>
            </w:r>
          </w:p>
        </w:tc>
      </w:tr>
    </w:tbl>
    <w:bookmarkStart w:name="z13" w:id="7"/>
    <w:p>
      <w:pPr>
        <w:spacing w:after="0"/>
        <w:ind w:left="0"/>
        <w:jc w:val="both"/>
      </w:pPr>
      <w:r>
        <w:rPr>
          <w:rFonts w:ascii="Times New Roman"/>
          <w:b w:val="false"/>
          <w:i w:val="false"/>
          <w:color w:val="000000"/>
          <w:sz w:val="28"/>
        </w:rPr>
        <w:t xml:space="preserve">
      форма      </w:t>
      </w:r>
    </w:p>
    <w:bookmarkEnd w:id="7"/>
    <w:bookmarkStart w:name="z14" w:id="8"/>
    <w:p>
      <w:pPr>
        <w:spacing w:after="0"/>
        <w:ind w:left="0"/>
        <w:jc w:val="left"/>
      </w:pPr>
      <w:r>
        <w:rPr>
          <w:rFonts w:ascii="Times New Roman"/>
          <w:b/>
          <w:i w:val="false"/>
          <w:color w:val="000000"/>
        </w:rPr>
        <w:t xml:space="preserve"> Паспорт установки</w:t>
      </w:r>
    </w:p>
    <w:bookmarkEnd w:id="8"/>
    <w:p>
      <w:pPr>
        <w:spacing w:after="0"/>
        <w:ind w:left="0"/>
        <w:jc w:val="both"/>
      </w:pPr>
      <w:r>
        <w:rPr>
          <w:rFonts w:ascii="Times New Roman"/>
          <w:b w:val="false"/>
          <w:i w:val="false"/>
          <w:color w:val="000000"/>
          <w:sz w:val="28"/>
        </w:rPr>
        <w:t xml:space="preserve">
      </w:t>
      </w:r>
      <w:r>
        <w:rPr>
          <w:rFonts w:ascii="Times New Roman"/>
          <w:b/>
          <w:i w:val="false"/>
          <w:color w:val="000000"/>
          <w:sz w:val="28"/>
        </w:rPr>
        <w:t>Индекс:</w:t>
      </w:r>
      <w:r>
        <w:rPr>
          <w:rFonts w:ascii="Times New Roman"/>
          <w:b w:val="false"/>
          <w:i w:val="false"/>
          <w:color w:val="000000"/>
          <w:sz w:val="28"/>
        </w:rPr>
        <w:t xml:space="preserve"> форма № 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Периодичность:</w:t>
      </w:r>
      <w:r>
        <w:rPr>
          <w:rFonts w:ascii="Times New Roman"/>
          <w:b w:val="false"/>
          <w:i w:val="false"/>
          <w:color w:val="000000"/>
          <w:sz w:val="28"/>
        </w:rPr>
        <w:t xml:space="preserve"> первый год действия Национального плана распределения квот на выбросы парниковых газов, утвержденного на соответствующий период.</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Круг лиц представляющих:</w:t>
      </w:r>
      <w:r>
        <w:rPr>
          <w:rFonts w:ascii="Times New Roman"/>
          <w:b w:val="false"/>
          <w:i w:val="false"/>
          <w:color w:val="000000"/>
          <w:sz w:val="28"/>
        </w:rPr>
        <w:t xml:space="preserve"> операторы установок, подпадающие под требования по квотированию выбросов парниковых газов в соответствии со </w:t>
      </w:r>
      <w:r>
        <w:rPr>
          <w:rFonts w:ascii="Times New Roman"/>
          <w:b w:val="false"/>
          <w:i w:val="false"/>
          <w:color w:val="000000"/>
          <w:sz w:val="28"/>
        </w:rPr>
        <w:t>статьей 94-2</w:t>
      </w:r>
      <w:r>
        <w:rPr>
          <w:rFonts w:ascii="Times New Roman"/>
          <w:b w:val="false"/>
          <w:i w:val="false"/>
          <w:color w:val="000000"/>
          <w:sz w:val="28"/>
        </w:rPr>
        <w:t xml:space="preserve"> Экологического кодекса Республики Казахстан.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Куда представляется:</w:t>
      </w:r>
      <w:r>
        <w:rPr>
          <w:rFonts w:ascii="Times New Roman"/>
          <w:b w:val="false"/>
          <w:i w:val="false"/>
          <w:color w:val="000000"/>
          <w:sz w:val="28"/>
        </w:rPr>
        <w:t xml:space="preserve"> уполномоченный орган в области охраны окружающей среды Республики Казахстан.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Срок представления:</w:t>
      </w:r>
    </w:p>
    <w:p>
      <w:pPr>
        <w:spacing w:after="0"/>
        <w:ind w:left="0"/>
        <w:jc w:val="both"/>
      </w:pPr>
      <w:r>
        <w:rPr>
          <w:rFonts w:ascii="Times New Roman"/>
          <w:b w:val="false"/>
          <w:i w:val="false"/>
          <w:color w:val="000000"/>
          <w:sz w:val="28"/>
        </w:rPr>
        <w:t>
      до первого апреля первого года действия Национального плана распределения квот на выбросы парниковых газов, утвержденного на соответствующий период.</w:t>
      </w:r>
    </w:p>
    <w:p>
      <w:pPr>
        <w:spacing w:after="0"/>
        <w:ind w:left="0"/>
        <w:jc w:val="both"/>
      </w:pPr>
      <w:r>
        <w:rPr>
          <w:rFonts w:ascii="Times New Roman"/>
          <w:b w:val="false"/>
          <w:i w:val="false"/>
          <w:color w:val="000000"/>
          <w:sz w:val="28"/>
        </w:rPr>
        <w:t>
            1. Регистрационный номер паспорта установки (заполняется уполномоченным органом) _____________________________________________</w:t>
      </w:r>
    </w:p>
    <w:p>
      <w:pPr>
        <w:spacing w:after="0"/>
        <w:ind w:left="0"/>
        <w:jc w:val="both"/>
      </w:pPr>
      <w:r>
        <w:rPr>
          <w:rFonts w:ascii="Times New Roman"/>
          <w:b w:val="false"/>
          <w:i w:val="false"/>
          <w:color w:val="000000"/>
          <w:sz w:val="28"/>
        </w:rPr>
        <w:t>
      2. Дата заполнения паспорта ___________________________________</w:t>
      </w:r>
    </w:p>
    <w:p>
      <w:pPr>
        <w:spacing w:after="0"/>
        <w:ind w:left="0"/>
        <w:jc w:val="both"/>
      </w:pPr>
      <w:r>
        <w:rPr>
          <w:rFonts w:ascii="Times New Roman"/>
          <w:b w:val="false"/>
          <w:i w:val="false"/>
          <w:color w:val="000000"/>
          <w:sz w:val="28"/>
        </w:rPr>
        <w:t>
      3. Полное наименование оператора установки ____________________</w:t>
      </w:r>
    </w:p>
    <w:p>
      <w:pPr>
        <w:spacing w:after="0"/>
        <w:ind w:left="0"/>
        <w:jc w:val="both"/>
      </w:pPr>
      <w:r>
        <w:rPr>
          <w:rFonts w:ascii="Times New Roman"/>
          <w:b w:val="false"/>
          <w:i w:val="false"/>
          <w:color w:val="000000"/>
          <w:sz w:val="28"/>
        </w:rPr>
        <w:t>
      4. Юридический адрес оператора установки ______________________</w:t>
      </w:r>
    </w:p>
    <w:p>
      <w:pPr>
        <w:spacing w:after="0"/>
        <w:ind w:left="0"/>
        <w:jc w:val="both"/>
      </w:pPr>
      <w:r>
        <w:rPr>
          <w:rFonts w:ascii="Times New Roman"/>
          <w:b w:val="false"/>
          <w:i w:val="false"/>
          <w:color w:val="000000"/>
          <w:sz w:val="28"/>
        </w:rPr>
        <w:t>
      5. Телефон ____________________________________________________</w:t>
      </w:r>
    </w:p>
    <w:p>
      <w:pPr>
        <w:spacing w:after="0"/>
        <w:ind w:left="0"/>
        <w:jc w:val="both"/>
      </w:pPr>
      <w:r>
        <w:rPr>
          <w:rFonts w:ascii="Times New Roman"/>
          <w:b w:val="false"/>
          <w:i w:val="false"/>
          <w:color w:val="000000"/>
          <w:sz w:val="28"/>
        </w:rPr>
        <w:t>
      6. Факс _______________________________________________________</w:t>
      </w:r>
    </w:p>
    <w:p>
      <w:pPr>
        <w:spacing w:after="0"/>
        <w:ind w:left="0"/>
        <w:jc w:val="both"/>
      </w:pPr>
      <w:r>
        <w:rPr>
          <w:rFonts w:ascii="Times New Roman"/>
          <w:b w:val="false"/>
          <w:i w:val="false"/>
          <w:color w:val="000000"/>
          <w:sz w:val="28"/>
        </w:rPr>
        <w:t>
      7. Адрес электронной почты ____________________________________</w:t>
      </w:r>
    </w:p>
    <w:p>
      <w:pPr>
        <w:spacing w:after="0"/>
        <w:ind w:left="0"/>
        <w:jc w:val="both"/>
      </w:pPr>
      <w:r>
        <w:rPr>
          <w:rFonts w:ascii="Times New Roman"/>
          <w:b w:val="false"/>
          <w:i w:val="false"/>
          <w:color w:val="000000"/>
          <w:sz w:val="28"/>
        </w:rPr>
        <w:t>
            8. Бизнес-идентификационный номер (далее - БИН) или индивидуальный идентификационный номер оператора установки __________</w:t>
      </w:r>
    </w:p>
    <w:p>
      <w:pPr>
        <w:spacing w:after="0"/>
        <w:ind w:left="0"/>
        <w:jc w:val="both"/>
      </w:pPr>
      <w:r>
        <w:rPr>
          <w:rFonts w:ascii="Times New Roman"/>
          <w:b w:val="false"/>
          <w:i w:val="false"/>
          <w:color w:val="000000"/>
          <w:sz w:val="28"/>
        </w:rPr>
        <w:t>
            9. Основной вид деятельности оператора установки по общему классификатору видов экономической деятельности _____________________</w:t>
      </w:r>
    </w:p>
    <w:p>
      <w:pPr>
        <w:spacing w:after="0"/>
        <w:ind w:left="0"/>
        <w:jc w:val="both"/>
      </w:pPr>
      <w:r>
        <w:rPr>
          <w:rFonts w:ascii="Times New Roman"/>
          <w:b w:val="false"/>
          <w:i w:val="false"/>
          <w:color w:val="000000"/>
          <w:sz w:val="28"/>
        </w:rPr>
        <w:t>
            10. Фамилия, имя, отчество – при наличии руководителя оператора установки (далее - ФИО) _____________________________________________</w:t>
      </w:r>
    </w:p>
    <w:p>
      <w:pPr>
        <w:spacing w:after="0"/>
        <w:ind w:left="0"/>
        <w:jc w:val="both"/>
      </w:pPr>
      <w:r>
        <w:rPr>
          <w:rFonts w:ascii="Times New Roman"/>
          <w:b w:val="false"/>
          <w:i w:val="false"/>
          <w:color w:val="000000"/>
          <w:sz w:val="28"/>
        </w:rPr>
        <w:t>
            11. ФИО ответственного лица за подготовку паспорта установки _____________________________________________________________________</w:t>
      </w:r>
    </w:p>
    <w:p>
      <w:pPr>
        <w:spacing w:after="0"/>
        <w:ind w:left="0"/>
        <w:jc w:val="both"/>
      </w:pPr>
      <w:r>
        <w:rPr>
          <w:rFonts w:ascii="Times New Roman"/>
          <w:b w:val="false"/>
          <w:i w:val="false"/>
          <w:color w:val="000000"/>
          <w:sz w:val="28"/>
        </w:rPr>
        <w:t>
      12. Контактные данные ответственного лица _____________________</w:t>
      </w:r>
    </w:p>
    <w:p>
      <w:pPr>
        <w:spacing w:after="0"/>
        <w:ind w:left="0"/>
        <w:jc w:val="both"/>
      </w:pPr>
      <w:r>
        <w:rPr>
          <w:rFonts w:ascii="Times New Roman"/>
          <w:b w:val="false"/>
          <w:i w:val="false"/>
          <w:color w:val="000000"/>
          <w:sz w:val="28"/>
        </w:rPr>
        <w:t>
      13. Данные по установке: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769"/>
        <w:gridCol w:w="769"/>
        <w:gridCol w:w="769"/>
        <w:gridCol w:w="2251"/>
        <w:gridCol w:w="2942"/>
        <w:gridCol w:w="3735"/>
      </w:tblGrid>
      <w:tr>
        <w:trPr>
          <w:trHeight w:val="30" w:hRule="atLeast"/>
        </w:trPr>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установки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источника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источника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по общему классификатору экономической деятельности</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Географическое место расположение по общему классификатору административно-территориальных объектов</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используемого топлива или промышленного процесса, являющегося источником выбросов парниковых газов</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Характеристики используемой технологии, мощности и временного периода работы для каждого источника (котлы для производства пара или горячей воды, источники тепловой энергии, необходимой для различных технологических процессов, цементные или плавильные печи, стационарные системы для транспортировки углеродного сырья, сжигание попутного газа на факелах, технологические процессы, связанные с выбросами парниковых газов).</w:t>
      </w:r>
    </w:p>
    <w:p>
      <w:pPr>
        <w:spacing w:after="0"/>
        <w:ind w:left="0"/>
        <w:jc w:val="both"/>
      </w:pPr>
      <w:r>
        <w:rPr>
          <w:rFonts w:ascii="Times New Roman"/>
          <w:b w:val="false"/>
          <w:i w:val="false"/>
          <w:color w:val="000000"/>
          <w:sz w:val="28"/>
        </w:rPr>
        <w:t>
      15. Расчеты, обосновывающие получение (изменение) объема квот на выбросы парниковых газов*.</w:t>
      </w:r>
    </w:p>
    <w:p>
      <w:pPr>
        <w:spacing w:after="0"/>
        <w:ind w:left="0"/>
        <w:jc w:val="both"/>
      </w:pPr>
      <w:r>
        <w:rPr>
          <w:rFonts w:ascii="Times New Roman"/>
          <w:b w:val="false"/>
          <w:i w:val="false"/>
          <w:color w:val="000000"/>
          <w:sz w:val="28"/>
        </w:rPr>
        <w:t>
      16. Подпись руководителя оператора установки, печать __________</w:t>
      </w:r>
    </w:p>
    <w:p>
      <w:pPr>
        <w:spacing w:after="0"/>
        <w:ind w:left="0"/>
        <w:jc w:val="both"/>
      </w:pPr>
      <w:r>
        <w:rPr>
          <w:rFonts w:ascii="Times New Roman"/>
          <w:b w:val="false"/>
          <w:i w:val="false"/>
          <w:color w:val="000000"/>
          <w:sz w:val="28"/>
        </w:rPr>
        <w:t>
      17. Подтвержден _______________________________________________</w:t>
      </w:r>
    </w:p>
    <w:p>
      <w:pPr>
        <w:spacing w:after="0"/>
        <w:ind w:left="0"/>
        <w:jc w:val="both"/>
      </w:pPr>
      <w:r>
        <w:rPr>
          <w:rFonts w:ascii="Times New Roman"/>
          <w:b w:val="false"/>
          <w:i w:val="false"/>
          <w:color w:val="000000"/>
          <w:sz w:val="28"/>
        </w:rPr>
        <w:t>
      1) полное наименование аккредитованного органа по валидации и верификации, БИН;</w:t>
      </w:r>
    </w:p>
    <w:p>
      <w:pPr>
        <w:spacing w:after="0"/>
        <w:ind w:left="0"/>
        <w:jc w:val="both"/>
      </w:pPr>
      <w:r>
        <w:rPr>
          <w:rFonts w:ascii="Times New Roman"/>
          <w:b w:val="false"/>
          <w:i w:val="false"/>
          <w:color w:val="000000"/>
          <w:sz w:val="28"/>
        </w:rPr>
        <w:t>
      2) номер и срок аттестата об аккредитации;</w:t>
      </w:r>
    </w:p>
    <w:p>
      <w:pPr>
        <w:spacing w:after="0"/>
        <w:ind w:left="0"/>
        <w:jc w:val="both"/>
      </w:pPr>
      <w:r>
        <w:rPr>
          <w:rFonts w:ascii="Times New Roman"/>
          <w:b w:val="false"/>
          <w:i w:val="false"/>
          <w:color w:val="000000"/>
          <w:sz w:val="28"/>
        </w:rPr>
        <w:t>
      3) юридический адрес аккредитованного органа по валидации и верификации;</w:t>
      </w:r>
    </w:p>
    <w:p>
      <w:pPr>
        <w:spacing w:after="0"/>
        <w:ind w:left="0"/>
        <w:jc w:val="both"/>
      </w:pPr>
      <w:r>
        <w:rPr>
          <w:rFonts w:ascii="Times New Roman"/>
          <w:b w:val="false"/>
          <w:i w:val="false"/>
          <w:color w:val="000000"/>
          <w:sz w:val="28"/>
        </w:rPr>
        <w:t>
      4) телефон, факс;</w:t>
      </w:r>
    </w:p>
    <w:p>
      <w:pPr>
        <w:spacing w:after="0"/>
        <w:ind w:left="0"/>
        <w:jc w:val="both"/>
      </w:pPr>
      <w:r>
        <w:rPr>
          <w:rFonts w:ascii="Times New Roman"/>
          <w:b w:val="false"/>
          <w:i w:val="false"/>
          <w:color w:val="000000"/>
          <w:sz w:val="28"/>
        </w:rPr>
        <w:t>
      5) электронная почта;</w:t>
      </w:r>
    </w:p>
    <w:p>
      <w:pPr>
        <w:spacing w:after="0"/>
        <w:ind w:left="0"/>
        <w:jc w:val="both"/>
      </w:pPr>
      <w:r>
        <w:rPr>
          <w:rFonts w:ascii="Times New Roman"/>
          <w:b w:val="false"/>
          <w:i w:val="false"/>
          <w:color w:val="000000"/>
          <w:sz w:val="28"/>
        </w:rPr>
        <w:t>
      6) ФИО лица, ответственного за верификацию;</w:t>
      </w:r>
    </w:p>
    <w:p>
      <w:pPr>
        <w:spacing w:after="0"/>
        <w:ind w:left="0"/>
        <w:jc w:val="both"/>
      </w:pPr>
      <w:r>
        <w:rPr>
          <w:rFonts w:ascii="Times New Roman"/>
          <w:b w:val="false"/>
          <w:i w:val="false"/>
          <w:color w:val="000000"/>
          <w:sz w:val="28"/>
        </w:rPr>
        <w:t>
      7) подтверждение выбросов парниковых газов в следующем объеме*:</w:t>
      </w:r>
    </w:p>
    <w:p>
      <w:pPr>
        <w:spacing w:after="0"/>
        <w:ind w:left="0"/>
        <w:jc w:val="both"/>
      </w:pPr>
      <w:r>
        <w:rPr>
          <w:rFonts w:ascii="Times New Roman"/>
          <w:b w:val="false"/>
          <w:i w:val="false"/>
          <w:color w:val="000000"/>
          <w:sz w:val="28"/>
        </w:rPr>
        <w:t>
      _____ тонн двуокиси углерода;</w:t>
      </w:r>
    </w:p>
    <w:p>
      <w:pPr>
        <w:spacing w:after="0"/>
        <w:ind w:left="0"/>
        <w:jc w:val="both"/>
      </w:pPr>
      <w:r>
        <w:rPr>
          <w:rFonts w:ascii="Times New Roman"/>
          <w:b w:val="false"/>
          <w:i w:val="false"/>
          <w:color w:val="000000"/>
          <w:sz w:val="28"/>
        </w:rPr>
        <w:t>
      _____ тонн общих выбросов ПГ в эквиваленте двуокиси углерода;</w:t>
      </w:r>
    </w:p>
    <w:p>
      <w:pPr>
        <w:spacing w:after="0"/>
        <w:ind w:left="0"/>
        <w:jc w:val="both"/>
      </w:pPr>
      <w:r>
        <w:rPr>
          <w:rFonts w:ascii="Times New Roman"/>
          <w:b w:val="false"/>
          <w:i w:val="false"/>
          <w:color w:val="000000"/>
          <w:sz w:val="28"/>
        </w:rPr>
        <w:t>
      8) подпись руководителя аккредитованного органа по валидации и верификации (ФИО), печать.</w:t>
      </w:r>
    </w:p>
    <w:p>
      <w:pPr>
        <w:spacing w:after="0"/>
        <w:ind w:left="0"/>
        <w:jc w:val="both"/>
      </w:pPr>
      <w:r>
        <w:rPr>
          <w:rFonts w:ascii="Times New Roman"/>
          <w:b w:val="false"/>
          <w:i w:val="false"/>
          <w:color w:val="000000"/>
          <w:sz w:val="28"/>
        </w:rPr>
        <w:t xml:space="preserve">
      * - заполняется операторами новых установок, операторами установок субъектов администрирования, эксплуатация которых в период действия Национального плана подпадает под требования пункта 1 </w:t>
      </w:r>
      <w:r>
        <w:rPr>
          <w:rFonts w:ascii="Times New Roman"/>
          <w:b w:val="false"/>
          <w:i w:val="false"/>
          <w:color w:val="000000"/>
          <w:sz w:val="28"/>
        </w:rPr>
        <w:t>статьи 94-2</w:t>
      </w:r>
      <w:r>
        <w:rPr>
          <w:rFonts w:ascii="Times New Roman"/>
          <w:b w:val="false"/>
          <w:i w:val="false"/>
          <w:color w:val="000000"/>
          <w:sz w:val="28"/>
        </w:rPr>
        <w:t xml:space="preserve"> Экологического Кодекса и в целях получения дополнительного объема квот на выбросы парниковых газов.</w:t>
      </w:r>
    </w:p>
    <w:bookmarkStart w:name="z15" w:id="9"/>
    <w:p>
      <w:pPr>
        <w:spacing w:after="0"/>
        <w:ind w:left="0"/>
        <w:jc w:val="left"/>
      </w:pPr>
      <w:r>
        <w:rPr>
          <w:rFonts w:ascii="Times New Roman"/>
          <w:b/>
          <w:i w:val="false"/>
          <w:color w:val="000000"/>
        </w:rPr>
        <w:t xml:space="preserve"> Пояснение по заполнению "Формы паспорта установки"</w:t>
      </w:r>
    </w:p>
    <w:bookmarkEnd w:id="9"/>
    <w:p>
      <w:pPr>
        <w:spacing w:after="0"/>
        <w:ind w:left="0"/>
        <w:jc w:val="both"/>
      </w:pPr>
      <w:r>
        <w:rPr>
          <w:rFonts w:ascii="Times New Roman"/>
          <w:b w:val="false"/>
          <w:i w:val="false"/>
          <w:color w:val="000000"/>
          <w:sz w:val="28"/>
        </w:rPr>
        <w:t xml:space="preserve">
      1. Паспорт установки (далее – Паспорт) разработан в соответствии со </w:t>
      </w:r>
      <w:r>
        <w:rPr>
          <w:rFonts w:ascii="Times New Roman"/>
          <w:b w:val="false"/>
          <w:i w:val="false"/>
          <w:color w:val="000000"/>
          <w:sz w:val="28"/>
        </w:rPr>
        <w:t>статьей 17</w:t>
      </w:r>
      <w:r>
        <w:rPr>
          <w:rFonts w:ascii="Times New Roman"/>
          <w:b w:val="false"/>
          <w:i w:val="false"/>
          <w:color w:val="000000"/>
          <w:sz w:val="28"/>
        </w:rPr>
        <w:t xml:space="preserve"> Экологического кодекса Республики Казахстан от 9 января 2007 года.</w:t>
      </w:r>
    </w:p>
    <w:p>
      <w:pPr>
        <w:spacing w:after="0"/>
        <w:ind w:left="0"/>
        <w:jc w:val="both"/>
      </w:pPr>
      <w:r>
        <w:rPr>
          <w:rFonts w:ascii="Times New Roman"/>
          <w:b w:val="false"/>
          <w:i w:val="false"/>
          <w:color w:val="000000"/>
          <w:sz w:val="28"/>
        </w:rPr>
        <w:t xml:space="preserve">
      2. Паспорт представляется операторами установок, подпадающими под требования по квотированию выбросов парниковых газов в соответствии со </w:t>
      </w:r>
      <w:r>
        <w:rPr>
          <w:rFonts w:ascii="Times New Roman"/>
          <w:b w:val="false"/>
          <w:i w:val="false"/>
          <w:color w:val="000000"/>
          <w:sz w:val="28"/>
        </w:rPr>
        <w:t>статьей 94-2</w:t>
      </w:r>
      <w:r>
        <w:rPr>
          <w:rFonts w:ascii="Times New Roman"/>
          <w:b w:val="false"/>
          <w:i w:val="false"/>
          <w:color w:val="000000"/>
          <w:sz w:val="28"/>
        </w:rPr>
        <w:t xml:space="preserve"> Экологического кодекса Республики Казахстан, до первого апреля первого года действия Национального плана распределения квот на выбросы парниковых газов, утвержденного на соответствующий период.</w:t>
      </w:r>
    </w:p>
    <w:p>
      <w:pPr>
        <w:spacing w:after="0"/>
        <w:ind w:left="0"/>
        <w:jc w:val="both"/>
      </w:pPr>
      <w:r>
        <w:rPr>
          <w:rFonts w:ascii="Times New Roman"/>
          <w:b w:val="false"/>
          <w:i w:val="false"/>
          <w:color w:val="000000"/>
          <w:sz w:val="28"/>
        </w:rPr>
        <w:t>
      3. Паспорт заполняется следующим образом:</w:t>
      </w:r>
    </w:p>
    <w:p>
      <w:pPr>
        <w:spacing w:after="0"/>
        <w:ind w:left="0"/>
        <w:jc w:val="both"/>
      </w:pPr>
      <w:r>
        <w:rPr>
          <w:rFonts w:ascii="Times New Roman"/>
          <w:b w:val="false"/>
          <w:i w:val="false"/>
          <w:color w:val="000000"/>
          <w:sz w:val="28"/>
        </w:rPr>
        <w:t>
      в разделе 1 указывается регистрационный номер паспорта установки (заполняется уполномоченным органом);</w:t>
      </w:r>
    </w:p>
    <w:p>
      <w:pPr>
        <w:spacing w:after="0"/>
        <w:ind w:left="0"/>
        <w:jc w:val="both"/>
      </w:pPr>
      <w:r>
        <w:rPr>
          <w:rFonts w:ascii="Times New Roman"/>
          <w:b w:val="false"/>
          <w:i w:val="false"/>
          <w:color w:val="000000"/>
          <w:sz w:val="28"/>
        </w:rPr>
        <w:t>
      в разделе 2 указывается дата заполнения паспорта;</w:t>
      </w:r>
    </w:p>
    <w:p>
      <w:pPr>
        <w:spacing w:after="0"/>
        <w:ind w:left="0"/>
        <w:jc w:val="both"/>
      </w:pPr>
      <w:r>
        <w:rPr>
          <w:rFonts w:ascii="Times New Roman"/>
          <w:b w:val="false"/>
          <w:i w:val="false"/>
          <w:color w:val="000000"/>
          <w:sz w:val="28"/>
        </w:rPr>
        <w:t>
      в разделе 3 указывается полное наименование оператора установки;</w:t>
      </w:r>
    </w:p>
    <w:p>
      <w:pPr>
        <w:spacing w:after="0"/>
        <w:ind w:left="0"/>
        <w:jc w:val="both"/>
      </w:pPr>
      <w:r>
        <w:rPr>
          <w:rFonts w:ascii="Times New Roman"/>
          <w:b w:val="false"/>
          <w:i w:val="false"/>
          <w:color w:val="000000"/>
          <w:sz w:val="28"/>
        </w:rPr>
        <w:t>
      в разделе 4 указывается юридический адрес оператора установки;</w:t>
      </w:r>
    </w:p>
    <w:p>
      <w:pPr>
        <w:spacing w:after="0"/>
        <w:ind w:left="0"/>
        <w:jc w:val="both"/>
      </w:pPr>
      <w:r>
        <w:rPr>
          <w:rFonts w:ascii="Times New Roman"/>
          <w:b w:val="false"/>
          <w:i w:val="false"/>
          <w:color w:val="000000"/>
          <w:sz w:val="28"/>
        </w:rPr>
        <w:t>
      в разделе 5 указывается контактный телефон оператора установки;</w:t>
      </w:r>
    </w:p>
    <w:p>
      <w:pPr>
        <w:spacing w:after="0"/>
        <w:ind w:left="0"/>
        <w:jc w:val="both"/>
      </w:pPr>
      <w:r>
        <w:rPr>
          <w:rFonts w:ascii="Times New Roman"/>
          <w:b w:val="false"/>
          <w:i w:val="false"/>
          <w:color w:val="000000"/>
          <w:sz w:val="28"/>
        </w:rPr>
        <w:t>
      в разделе 6 указывается факс оператора установки;</w:t>
      </w:r>
    </w:p>
    <w:p>
      <w:pPr>
        <w:spacing w:after="0"/>
        <w:ind w:left="0"/>
        <w:jc w:val="both"/>
      </w:pPr>
      <w:r>
        <w:rPr>
          <w:rFonts w:ascii="Times New Roman"/>
          <w:b w:val="false"/>
          <w:i w:val="false"/>
          <w:color w:val="000000"/>
          <w:sz w:val="28"/>
        </w:rPr>
        <w:t>
      в разделе 7 указывается электронный адрес оператора установки;</w:t>
      </w:r>
    </w:p>
    <w:p>
      <w:pPr>
        <w:spacing w:after="0"/>
        <w:ind w:left="0"/>
        <w:jc w:val="both"/>
      </w:pPr>
      <w:r>
        <w:rPr>
          <w:rFonts w:ascii="Times New Roman"/>
          <w:b w:val="false"/>
          <w:i w:val="false"/>
          <w:color w:val="000000"/>
          <w:sz w:val="28"/>
        </w:rPr>
        <w:t>
      в разделе 8 указывается бизнес-идентификационный номер или индивидуальный идентификационный номер оператора установки;</w:t>
      </w:r>
    </w:p>
    <w:p>
      <w:pPr>
        <w:spacing w:after="0"/>
        <w:ind w:left="0"/>
        <w:jc w:val="both"/>
      </w:pPr>
      <w:r>
        <w:rPr>
          <w:rFonts w:ascii="Times New Roman"/>
          <w:b w:val="false"/>
          <w:i w:val="false"/>
          <w:color w:val="000000"/>
          <w:sz w:val="28"/>
        </w:rPr>
        <w:t>
      в разделе 9 указывается основной вид деятельности оператора установки по общему классификатору видов экономической деятельности;</w:t>
      </w:r>
    </w:p>
    <w:p>
      <w:pPr>
        <w:spacing w:after="0"/>
        <w:ind w:left="0"/>
        <w:jc w:val="both"/>
      </w:pPr>
      <w:r>
        <w:rPr>
          <w:rFonts w:ascii="Times New Roman"/>
          <w:b w:val="false"/>
          <w:i w:val="false"/>
          <w:color w:val="000000"/>
          <w:sz w:val="28"/>
        </w:rPr>
        <w:t>
      в разделе 10 указываются данные руководителя оператора установки (фамилия, имя, отчество – при наличии);</w:t>
      </w:r>
    </w:p>
    <w:p>
      <w:pPr>
        <w:spacing w:after="0"/>
        <w:ind w:left="0"/>
        <w:jc w:val="both"/>
      </w:pPr>
      <w:r>
        <w:rPr>
          <w:rFonts w:ascii="Times New Roman"/>
          <w:b w:val="false"/>
          <w:i w:val="false"/>
          <w:color w:val="000000"/>
          <w:sz w:val="28"/>
        </w:rPr>
        <w:t>
      в разделе 11 указываются данные ответственного лица за подготовку паспорта установки (фамилия, имя и отчество – при наличии);</w:t>
      </w:r>
    </w:p>
    <w:p>
      <w:pPr>
        <w:spacing w:after="0"/>
        <w:ind w:left="0"/>
        <w:jc w:val="both"/>
      </w:pPr>
      <w:r>
        <w:rPr>
          <w:rFonts w:ascii="Times New Roman"/>
          <w:b w:val="false"/>
          <w:i w:val="false"/>
          <w:color w:val="000000"/>
          <w:sz w:val="28"/>
        </w:rPr>
        <w:t>
      в разделе 12 указываются контактные данные ответственного лица за подготовку паспорта установки.</w:t>
      </w:r>
    </w:p>
    <w:p>
      <w:pPr>
        <w:spacing w:after="0"/>
        <w:ind w:left="0"/>
        <w:jc w:val="both"/>
      </w:pPr>
      <w:r>
        <w:rPr>
          <w:rFonts w:ascii="Times New Roman"/>
          <w:b w:val="false"/>
          <w:i w:val="false"/>
          <w:color w:val="000000"/>
          <w:sz w:val="28"/>
        </w:rPr>
        <w:t>
      4. В разделе 13 указываются данные по установке:</w:t>
      </w:r>
    </w:p>
    <w:p>
      <w:pPr>
        <w:spacing w:after="0"/>
        <w:ind w:left="0"/>
        <w:jc w:val="both"/>
      </w:pPr>
      <w:r>
        <w:rPr>
          <w:rFonts w:ascii="Times New Roman"/>
          <w:b w:val="false"/>
          <w:i w:val="false"/>
          <w:color w:val="000000"/>
          <w:sz w:val="28"/>
        </w:rPr>
        <w:t>
      в графе Б "Наименование установки" указывается наименование установки;</w:t>
      </w:r>
    </w:p>
    <w:p>
      <w:pPr>
        <w:spacing w:after="0"/>
        <w:ind w:left="0"/>
        <w:jc w:val="both"/>
      </w:pPr>
      <w:r>
        <w:rPr>
          <w:rFonts w:ascii="Times New Roman"/>
          <w:b w:val="false"/>
          <w:i w:val="false"/>
          <w:color w:val="000000"/>
          <w:sz w:val="28"/>
        </w:rPr>
        <w:t>
      в графе В "Наименование источника" указывается полное наименование источника, который является причиной выброса парниковых газов;</w:t>
      </w:r>
    </w:p>
    <w:p>
      <w:pPr>
        <w:spacing w:after="0"/>
        <w:ind w:left="0"/>
        <w:jc w:val="both"/>
      </w:pPr>
      <w:r>
        <w:rPr>
          <w:rFonts w:ascii="Times New Roman"/>
          <w:b w:val="false"/>
          <w:i w:val="false"/>
          <w:color w:val="000000"/>
          <w:sz w:val="28"/>
        </w:rPr>
        <w:t>
      в графе Г "№ источника" указывается номер источника в пределах от 0001 до 5999 согласно схеме их расположения, которая составляется и хранится у оператора установки. При появлении нового источника ему присваивается номер, ранее не использовавшийся. При ликвидации источника его номер в дальнейшем не используется;</w:t>
      </w:r>
    </w:p>
    <w:p>
      <w:pPr>
        <w:spacing w:after="0"/>
        <w:ind w:left="0"/>
        <w:jc w:val="both"/>
      </w:pPr>
      <w:r>
        <w:rPr>
          <w:rFonts w:ascii="Times New Roman"/>
          <w:b w:val="false"/>
          <w:i w:val="false"/>
          <w:color w:val="000000"/>
          <w:sz w:val="28"/>
        </w:rPr>
        <w:t>
      в графе Д "Вид деятельности по общему классификатору экономической деятельности" указывается вид деятельности установки по общему классификатору экономической деятельности;</w:t>
      </w:r>
    </w:p>
    <w:p>
      <w:pPr>
        <w:spacing w:after="0"/>
        <w:ind w:left="0"/>
        <w:jc w:val="both"/>
      </w:pPr>
      <w:r>
        <w:rPr>
          <w:rFonts w:ascii="Times New Roman"/>
          <w:b w:val="false"/>
          <w:i w:val="false"/>
          <w:color w:val="000000"/>
          <w:sz w:val="28"/>
        </w:rPr>
        <w:t>
      в графе Е "Географическое месторасположение по общему классификатору административно-территориальных объектов" указывается географическое месторасположение установки по общему классификатору административно-территориальных объектов;</w:t>
      </w:r>
    </w:p>
    <w:p>
      <w:pPr>
        <w:spacing w:after="0"/>
        <w:ind w:left="0"/>
        <w:jc w:val="both"/>
      </w:pPr>
      <w:r>
        <w:rPr>
          <w:rFonts w:ascii="Times New Roman"/>
          <w:b w:val="false"/>
          <w:i w:val="false"/>
          <w:color w:val="000000"/>
          <w:sz w:val="28"/>
        </w:rPr>
        <w:t>
      в графе Ж "Вид используемого топлива или промышленного процесса, являющегося источником выбросов парниковых газов" указывается вид используемого топлива или промышленного процесса установки, являющегося источником выбросов парниковых газов.</w:t>
      </w:r>
    </w:p>
    <w:p>
      <w:pPr>
        <w:spacing w:after="0"/>
        <w:ind w:left="0"/>
        <w:jc w:val="both"/>
      </w:pPr>
      <w:r>
        <w:rPr>
          <w:rFonts w:ascii="Times New Roman"/>
          <w:b w:val="false"/>
          <w:i w:val="false"/>
          <w:color w:val="000000"/>
          <w:sz w:val="28"/>
        </w:rPr>
        <w:t>
      5. В разделе 14 указываются характеристики используемой технологии, мощности и временного периода работы для каждого источника.</w:t>
      </w:r>
    </w:p>
    <w:p>
      <w:pPr>
        <w:spacing w:after="0"/>
        <w:ind w:left="0"/>
        <w:jc w:val="both"/>
      </w:pPr>
      <w:r>
        <w:rPr>
          <w:rFonts w:ascii="Times New Roman"/>
          <w:b w:val="false"/>
          <w:i w:val="false"/>
          <w:color w:val="000000"/>
          <w:sz w:val="28"/>
        </w:rPr>
        <w:t xml:space="preserve">
      6. В разделе 15 указываются расчеты, обосновывающие получение (изменение) объема квот на выбросы парниковых газов. Данный пункт заполняется операторами новых установок, операторами установок субъектов администрирования, эксплуатация которых в период действия Национального плана подпадает под требования пункта 1 </w:t>
      </w:r>
      <w:r>
        <w:rPr>
          <w:rFonts w:ascii="Times New Roman"/>
          <w:b w:val="false"/>
          <w:i w:val="false"/>
          <w:color w:val="000000"/>
          <w:sz w:val="28"/>
        </w:rPr>
        <w:t>статьи 94-2</w:t>
      </w:r>
      <w:r>
        <w:rPr>
          <w:rFonts w:ascii="Times New Roman"/>
          <w:b w:val="false"/>
          <w:i w:val="false"/>
          <w:color w:val="000000"/>
          <w:sz w:val="28"/>
        </w:rPr>
        <w:t xml:space="preserve"> Экологического Кодекса и в целях получения дополнительного объема квот на выбросы парниковых газов.</w:t>
      </w:r>
    </w:p>
    <w:p>
      <w:pPr>
        <w:spacing w:after="0"/>
        <w:ind w:left="0"/>
        <w:jc w:val="both"/>
      </w:pPr>
      <w:r>
        <w:rPr>
          <w:rFonts w:ascii="Times New Roman"/>
          <w:b w:val="false"/>
          <w:i w:val="false"/>
          <w:color w:val="000000"/>
          <w:sz w:val="28"/>
        </w:rPr>
        <w:t>
      7. В разделе 16 указывается подпись руководителя оператора установки, фамилия, имя, отчество при наличии, ставится печать.</w:t>
      </w:r>
    </w:p>
    <w:p>
      <w:pPr>
        <w:spacing w:after="0"/>
        <w:ind w:left="0"/>
        <w:jc w:val="both"/>
      </w:pPr>
      <w:r>
        <w:rPr>
          <w:rFonts w:ascii="Times New Roman"/>
          <w:b w:val="false"/>
          <w:i w:val="false"/>
          <w:color w:val="000000"/>
          <w:sz w:val="28"/>
        </w:rPr>
        <w:t>
      8. В разделе 17 указывается подтверждение Паспорта аккредитованным органом по валидации и верификации:</w:t>
      </w:r>
    </w:p>
    <w:p>
      <w:pPr>
        <w:spacing w:after="0"/>
        <w:ind w:left="0"/>
        <w:jc w:val="both"/>
      </w:pPr>
      <w:r>
        <w:rPr>
          <w:rFonts w:ascii="Times New Roman"/>
          <w:b w:val="false"/>
          <w:i w:val="false"/>
          <w:color w:val="000000"/>
          <w:sz w:val="28"/>
        </w:rPr>
        <w:t>
      в подпункте 1) указывается полное наименование аккредитованного органа по валидации и верификации, БИН;</w:t>
      </w:r>
    </w:p>
    <w:p>
      <w:pPr>
        <w:spacing w:after="0"/>
        <w:ind w:left="0"/>
        <w:jc w:val="both"/>
      </w:pPr>
      <w:r>
        <w:rPr>
          <w:rFonts w:ascii="Times New Roman"/>
          <w:b w:val="false"/>
          <w:i w:val="false"/>
          <w:color w:val="000000"/>
          <w:sz w:val="28"/>
        </w:rPr>
        <w:t>
      в подпункте 2) указывается номер и срок аттестата об аккредитации;</w:t>
      </w:r>
    </w:p>
    <w:p>
      <w:pPr>
        <w:spacing w:after="0"/>
        <w:ind w:left="0"/>
        <w:jc w:val="both"/>
      </w:pPr>
      <w:r>
        <w:rPr>
          <w:rFonts w:ascii="Times New Roman"/>
          <w:b w:val="false"/>
          <w:i w:val="false"/>
          <w:color w:val="000000"/>
          <w:sz w:val="28"/>
        </w:rPr>
        <w:t>
      в подпункте 3) указывается юридический адрес аккредитованного органа по валидации и верификации;</w:t>
      </w:r>
    </w:p>
    <w:p>
      <w:pPr>
        <w:spacing w:after="0"/>
        <w:ind w:left="0"/>
        <w:jc w:val="both"/>
      </w:pPr>
      <w:r>
        <w:rPr>
          <w:rFonts w:ascii="Times New Roman"/>
          <w:b w:val="false"/>
          <w:i w:val="false"/>
          <w:color w:val="000000"/>
          <w:sz w:val="28"/>
        </w:rPr>
        <w:t>
      в подпункте 4) указывается номер телефона, факса верификатора;</w:t>
      </w:r>
    </w:p>
    <w:p>
      <w:pPr>
        <w:spacing w:after="0"/>
        <w:ind w:left="0"/>
        <w:jc w:val="both"/>
      </w:pPr>
      <w:r>
        <w:rPr>
          <w:rFonts w:ascii="Times New Roman"/>
          <w:b w:val="false"/>
          <w:i w:val="false"/>
          <w:color w:val="000000"/>
          <w:sz w:val="28"/>
        </w:rPr>
        <w:t>
      в подпункте 5) указывается электронная почта верификатора;</w:t>
      </w:r>
    </w:p>
    <w:p>
      <w:pPr>
        <w:spacing w:after="0"/>
        <w:ind w:left="0"/>
        <w:jc w:val="both"/>
      </w:pPr>
      <w:r>
        <w:rPr>
          <w:rFonts w:ascii="Times New Roman"/>
          <w:b w:val="false"/>
          <w:i w:val="false"/>
          <w:color w:val="000000"/>
          <w:sz w:val="28"/>
        </w:rPr>
        <w:t>
      в подпункте 6) указывается фамилия, имя, отчество при наличии, ответственного за верификацию;</w:t>
      </w:r>
    </w:p>
    <w:p>
      <w:pPr>
        <w:spacing w:after="0"/>
        <w:ind w:left="0"/>
        <w:jc w:val="both"/>
      </w:pPr>
      <w:r>
        <w:rPr>
          <w:rFonts w:ascii="Times New Roman"/>
          <w:b w:val="false"/>
          <w:i w:val="false"/>
          <w:color w:val="000000"/>
          <w:sz w:val="28"/>
        </w:rPr>
        <w:t xml:space="preserve">
      в подпункте 7) указывается подтверждаемый объем выбросов парниковых газов в тоннах двуокиси углерода, а также объем общих выбросов парниковых газов в эквиваленте двуокиси углерода. Данный пункт заполняется операторами новых установок, операторами установок субъектов администрирования, эксплуатация которых в период действия Национального плана подпадает под требования пункта 1 </w:t>
      </w:r>
      <w:r>
        <w:rPr>
          <w:rFonts w:ascii="Times New Roman"/>
          <w:b w:val="false"/>
          <w:i w:val="false"/>
          <w:color w:val="000000"/>
          <w:sz w:val="28"/>
        </w:rPr>
        <w:t>статьи 94-2</w:t>
      </w:r>
      <w:r>
        <w:rPr>
          <w:rFonts w:ascii="Times New Roman"/>
          <w:b w:val="false"/>
          <w:i w:val="false"/>
          <w:color w:val="000000"/>
          <w:sz w:val="28"/>
        </w:rPr>
        <w:t xml:space="preserve"> Экологического Кодекса и в целях получения дополнительного объема квот на выбросы парниковых газов;</w:t>
      </w:r>
    </w:p>
    <w:p>
      <w:pPr>
        <w:spacing w:after="0"/>
        <w:ind w:left="0"/>
        <w:jc w:val="both"/>
      </w:pPr>
      <w:r>
        <w:rPr>
          <w:rFonts w:ascii="Times New Roman"/>
          <w:b w:val="false"/>
          <w:i w:val="false"/>
          <w:color w:val="000000"/>
          <w:sz w:val="28"/>
        </w:rPr>
        <w:t>
      в подпункте 8) указывается подпись руководителя аккредитованного органа по валидации и верификации с фамилией, именем, отчеством при наличии, печать.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июня 2016 года № 233</w:t>
            </w:r>
            <w:r>
              <w:br/>
            </w:r>
            <w:r>
              <w:rPr>
                <w:rFonts w:ascii="Times New Roman"/>
                <w:b w:val="false"/>
                <w:i w:val="false"/>
                <w:color w:val="000000"/>
                <w:sz w:val="20"/>
              </w:rPr>
              <w:t>Приложение 1</w:t>
            </w:r>
            <w:r>
              <w:br/>
            </w:r>
            <w:r>
              <w:rPr>
                <w:rFonts w:ascii="Times New Roman"/>
                <w:b w:val="false"/>
                <w:i w:val="false"/>
                <w:color w:val="000000"/>
                <w:sz w:val="20"/>
              </w:rPr>
              <w:t>к приказу и.о.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июля 2015 года № 502</w:t>
            </w:r>
            <w:r>
              <w:br/>
            </w:r>
            <w:r>
              <w:rPr>
                <w:rFonts w:ascii="Times New Roman"/>
                <w:b w:val="false"/>
                <w:i w:val="false"/>
                <w:color w:val="000000"/>
                <w:sz w:val="20"/>
              </w:rPr>
              <w:t>форма 1</w:t>
            </w:r>
          </w:p>
        </w:tc>
      </w:tr>
    </w:tbl>
    <w:bookmarkStart w:name="z19" w:id="10"/>
    <w:p>
      <w:pPr>
        <w:spacing w:after="0"/>
        <w:ind w:left="0"/>
        <w:jc w:val="left"/>
      </w:pPr>
      <w:r>
        <w:rPr>
          <w:rFonts w:ascii="Times New Roman"/>
          <w:b/>
          <w:i w:val="false"/>
          <w:color w:val="000000"/>
        </w:rPr>
        <w:t xml:space="preserve"> Отчет об инвентаризации парниковых газов</w:t>
      </w:r>
      <w:r>
        <w:br/>
      </w:r>
      <w:r>
        <w:rPr>
          <w:rFonts w:ascii="Times New Roman"/>
          <w:b/>
          <w:i w:val="false"/>
          <w:color w:val="000000"/>
        </w:rPr>
        <w:t>для субъектов распределения квот на выбросы парниковых газов</w:t>
      </w:r>
    </w:p>
    <w:bookmarkEnd w:id="10"/>
    <w:p>
      <w:pPr>
        <w:spacing w:after="0"/>
        <w:ind w:left="0"/>
        <w:jc w:val="both"/>
      </w:pPr>
      <w:r>
        <w:rPr>
          <w:rFonts w:ascii="Times New Roman"/>
          <w:b w:val="false"/>
          <w:i w:val="false"/>
          <w:color w:val="000000"/>
          <w:sz w:val="28"/>
        </w:rPr>
        <w:t xml:space="preserve">
      </w:t>
      </w:r>
      <w:r>
        <w:rPr>
          <w:rFonts w:ascii="Times New Roman"/>
          <w:b/>
          <w:i w:val="false"/>
          <w:color w:val="000000"/>
          <w:sz w:val="28"/>
        </w:rPr>
        <w:t>Индекс:</w:t>
      </w:r>
      <w:r>
        <w:rPr>
          <w:rFonts w:ascii="Times New Roman"/>
          <w:b w:val="false"/>
          <w:i w:val="false"/>
          <w:color w:val="000000"/>
          <w:sz w:val="28"/>
        </w:rPr>
        <w:t xml:space="preserve"> форма № 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Периодичность:</w:t>
      </w:r>
      <w:r>
        <w:rPr>
          <w:rFonts w:ascii="Times New Roman"/>
          <w:b w:val="false"/>
          <w:i w:val="false"/>
          <w:color w:val="000000"/>
          <w:sz w:val="28"/>
        </w:rPr>
        <w:t xml:space="preserve"> годовая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Круг лиц представляющих:</w:t>
      </w:r>
      <w:r>
        <w:rPr>
          <w:rFonts w:ascii="Times New Roman"/>
          <w:b w:val="false"/>
          <w:i w:val="false"/>
          <w:color w:val="000000"/>
          <w:sz w:val="28"/>
        </w:rPr>
        <w:t xml:space="preserve"> операторы установок, подпадающие под требования по квотированию выбросов парниковых газов в соответствии со </w:t>
      </w:r>
      <w:r>
        <w:rPr>
          <w:rFonts w:ascii="Times New Roman"/>
          <w:b w:val="false"/>
          <w:i w:val="false"/>
          <w:color w:val="000000"/>
          <w:sz w:val="28"/>
        </w:rPr>
        <w:t>статьей 94-2</w:t>
      </w:r>
      <w:r>
        <w:rPr>
          <w:rFonts w:ascii="Times New Roman"/>
          <w:b w:val="false"/>
          <w:i w:val="false"/>
          <w:color w:val="000000"/>
          <w:sz w:val="28"/>
        </w:rPr>
        <w:t xml:space="preserve"> Экологического кодекса Республики Казахстан.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Куда представляется:</w:t>
      </w:r>
      <w:r>
        <w:rPr>
          <w:rFonts w:ascii="Times New Roman"/>
          <w:b w:val="false"/>
          <w:i w:val="false"/>
          <w:color w:val="000000"/>
          <w:sz w:val="28"/>
        </w:rPr>
        <w:t xml:space="preserve"> уполномоченный орган в области охраны окружающей среды Республики Казахстан.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Срок представления:</w:t>
      </w:r>
      <w:r>
        <w:rPr>
          <w:rFonts w:ascii="Times New Roman"/>
          <w:b w:val="false"/>
          <w:i w:val="false"/>
          <w:color w:val="000000"/>
          <w:sz w:val="28"/>
        </w:rPr>
        <w:t xml:space="preserve"> до 1 апреля года, следующего за отчетным.</w:t>
      </w:r>
    </w:p>
    <w:bookmarkStart w:name="z20" w:id="11"/>
    <w:p>
      <w:pPr>
        <w:spacing w:after="0"/>
        <w:ind w:left="0"/>
        <w:jc w:val="left"/>
      </w:pPr>
      <w:r>
        <w:rPr>
          <w:rFonts w:ascii="Times New Roman"/>
          <w:b/>
          <w:i w:val="false"/>
          <w:color w:val="000000"/>
        </w:rPr>
        <w:t xml:space="preserve"> Отчет об инвентаризации парниковых газов для субъектов</w:t>
      </w:r>
      <w:r>
        <w:br/>
      </w:r>
      <w:r>
        <w:rPr>
          <w:rFonts w:ascii="Times New Roman"/>
          <w:b/>
          <w:i w:val="false"/>
          <w:color w:val="000000"/>
        </w:rPr>
        <w:t>распределения квот на выбросы парниковых газов</w:t>
      </w:r>
    </w:p>
    <w:bookmarkEnd w:id="11"/>
    <w:p>
      <w:pPr>
        <w:spacing w:after="0"/>
        <w:ind w:left="0"/>
        <w:jc w:val="both"/>
      </w:pPr>
      <w:r>
        <w:rPr>
          <w:rFonts w:ascii="Times New Roman"/>
          <w:b w:val="false"/>
          <w:i w:val="false"/>
          <w:color w:val="000000"/>
          <w:sz w:val="28"/>
        </w:rPr>
        <w:t>
            1. Полное наименование, бизнес-идентификационный номер (далее - БИН) или индивидуальный идентификационный номер оператора установки ___________________________________________________________</w:t>
      </w:r>
    </w:p>
    <w:p>
      <w:pPr>
        <w:spacing w:after="0"/>
        <w:ind w:left="0"/>
        <w:jc w:val="both"/>
      </w:pPr>
      <w:r>
        <w:rPr>
          <w:rFonts w:ascii="Times New Roman"/>
          <w:b w:val="false"/>
          <w:i w:val="false"/>
          <w:color w:val="000000"/>
          <w:sz w:val="28"/>
        </w:rPr>
        <w:t>
            2. Юридический адрес оператора установки (область, район/город, населенный пункт) ___________________________________________________</w:t>
      </w:r>
    </w:p>
    <w:p>
      <w:pPr>
        <w:spacing w:after="0"/>
        <w:ind w:left="0"/>
        <w:jc w:val="both"/>
      </w:pPr>
      <w:r>
        <w:rPr>
          <w:rFonts w:ascii="Times New Roman"/>
          <w:b w:val="false"/>
          <w:i w:val="false"/>
          <w:color w:val="000000"/>
          <w:sz w:val="28"/>
        </w:rPr>
        <w:t>
            3. Вид деятельности, по которому осуществляется квотирование выбросов парниковых газов по общему классификатору видов экономической деятельности __________________________________________</w:t>
      </w:r>
    </w:p>
    <w:p>
      <w:pPr>
        <w:spacing w:after="0"/>
        <w:ind w:left="0"/>
        <w:jc w:val="both"/>
      </w:pPr>
      <w:r>
        <w:rPr>
          <w:rFonts w:ascii="Times New Roman"/>
          <w:b w:val="false"/>
          <w:i w:val="false"/>
          <w:color w:val="000000"/>
          <w:sz w:val="28"/>
        </w:rPr>
        <w:t>
      4. Ответственное лицо по отчету об инвентаризации парниковых газов (Фамилия, имя и отчество – при наличии (далее - ФИО)) _________</w:t>
      </w:r>
    </w:p>
    <w:p>
      <w:pPr>
        <w:spacing w:after="0"/>
        <w:ind w:left="0"/>
        <w:jc w:val="both"/>
      </w:pPr>
      <w:r>
        <w:rPr>
          <w:rFonts w:ascii="Times New Roman"/>
          <w:b w:val="false"/>
          <w:i w:val="false"/>
          <w:color w:val="000000"/>
          <w:sz w:val="28"/>
        </w:rPr>
        <w:t>
            5. Контактные данные ответственного лица по отчету об инвентаризации парниковых газов _____________________________________</w:t>
      </w:r>
    </w:p>
    <w:p>
      <w:pPr>
        <w:spacing w:after="0"/>
        <w:ind w:left="0"/>
        <w:jc w:val="both"/>
      </w:pPr>
      <w:r>
        <w:rPr>
          <w:rFonts w:ascii="Times New Roman"/>
          <w:b w:val="false"/>
          <w:i w:val="false"/>
          <w:color w:val="000000"/>
          <w:sz w:val="28"/>
        </w:rPr>
        <w:t>
      6. Отчетный год _______________________________________________</w:t>
      </w:r>
    </w:p>
    <w:p>
      <w:pPr>
        <w:spacing w:after="0"/>
        <w:ind w:left="0"/>
        <w:jc w:val="both"/>
      </w:pPr>
      <w:r>
        <w:rPr>
          <w:rFonts w:ascii="Times New Roman"/>
          <w:b w:val="false"/>
          <w:i w:val="false"/>
          <w:color w:val="000000"/>
          <w:sz w:val="28"/>
        </w:rPr>
        <w:t>
      7. Фактический объем выбросов парниковых газов за отчетный год по стационарным источникам или мобильным источникам, приравненным к стационарным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250"/>
        <w:gridCol w:w="250"/>
        <w:gridCol w:w="564"/>
        <w:gridCol w:w="1035"/>
        <w:gridCol w:w="564"/>
        <w:gridCol w:w="878"/>
        <w:gridCol w:w="564"/>
        <w:gridCol w:w="879"/>
        <w:gridCol w:w="565"/>
        <w:gridCol w:w="879"/>
        <w:gridCol w:w="1821"/>
        <w:gridCol w:w="1350"/>
        <w:gridCol w:w="2137"/>
      </w:tblGrid>
      <w:tr>
        <w:trPr>
          <w:trHeight w:val="30" w:hRule="atLeast"/>
        </w:trPr>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Наименованиеустановки</w:t>
            </w:r>
          </w:p>
        </w:tc>
        <w:tc>
          <w:tcPr>
            <w:tcW w:w="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Наименованиеисточника</w:t>
            </w: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источника</w:t>
            </w:r>
          </w:p>
        </w:tc>
        <w:tc>
          <w:tcPr>
            <w:tcW w:w="1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выбросов двуокиси углерода,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выбросов метана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выбросов закиси азота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выбросов перфторуглеродов</w:t>
            </w:r>
          </w:p>
        </w:tc>
        <w:tc>
          <w:tcPr>
            <w:tcW w:w="1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выбросов парниковых газов в эквиваленте тонны двуокиси углерода, всего</w:t>
            </w:r>
          </w:p>
        </w:tc>
        <w:tc>
          <w:tcPr>
            <w:tcW w:w="1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выбросов двуокиси углерода по всем источни</w:t>
            </w:r>
          </w:p>
          <w:p>
            <w:pPr>
              <w:spacing w:after="20"/>
              <w:ind w:left="20"/>
              <w:jc w:val="both"/>
            </w:pPr>
            <w:r>
              <w:rPr>
                <w:rFonts w:ascii="Times New Roman"/>
                <w:b w:val="false"/>
                <w:i w:val="false"/>
                <w:color w:val="000000"/>
                <w:sz w:val="20"/>
              </w:rPr>
              <w:t>
кам, тонн</w:t>
            </w:r>
          </w:p>
        </w:tc>
        <w:tc>
          <w:tcPr>
            <w:tcW w:w="2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выбросов парниковых газов по всем источникам в эквиваленте тонны двуокиси углерода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эквиваленте тонны двуокиси углерода</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эквиваленте тонны двуокиси углерода</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эквиваленте тонны двуокиси углерода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Использованные методики расчетов ___________________________</w:t>
      </w:r>
    </w:p>
    <w:p>
      <w:pPr>
        <w:spacing w:after="0"/>
        <w:ind w:left="0"/>
        <w:jc w:val="both"/>
      </w:pPr>
      <w:r>
        <w:rPr>
          <w:rFonts w:ascii="Times New Roman"/>
          <w:b w:val="false"/>
          <w:i w:val="false"/>
          <w:color w:val="000000"/>
          <w:sz w:val="28"/>
        </w:rPr>
        <w:t>
      9. Коэффициенты, использованные для расчетов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232"/>
        <w:gridCol w:w="378"/>
        <w:gridCol w:w="524"/>
        <w:gridCol w:w="524"/>
        <w:gridCol w:w="1202"/>
        <w:gridCol w:w="524"/>
        <w:gridCol w:w="1056"/>
        <w:gridCol w:w="1348"/>
        <w:gridCol w:w="1687"/>
        <w:gridCol w:w="2756"/>
        <w:gridCol w:w="1545"/>
      </w:tblGrid>
      <w:tr>
        <w:trPr>
          <w:trHeight w:val="30" w:hRule="atLeast"/>
        </w:trPr>
        <w:tc>
          <w:tcPr>
            <w:tcW w:w="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Наименованиеустановки</w:t>
            </w:r>
          </w:p>
        </w:tc>
        <w:tc>
          <w:tcPr>
            <w:tcW w:w="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источника</w:t>
            </w:r>
          </w:p>
        </w:tc>
        <w:tc>
          <w:tcPr>
            <w:tcW w:w="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источника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Потребленное топливо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Произведенная продукция за отчетный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использованные для расчетов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(в натуральных единицах)</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натуральных единицах)</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выбросов парниковых газов (в тоннах)</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теплотворного нетто-значения (терраДжоуль на тонну топлива)</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окисления (в случае сжигания топлива) либо коэффициент преобразования (в случае промышленных процессов)</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выбросов углерода, тонн на терраДжоуль или единицу продукции</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Изменение данных установок за отчетный год (по факту)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6731"/>
        <w:gridCol w:w="3116"/>
        <w:gridCol w:w="755"/>
      </w:tblGrid>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данных установок за отчетный год</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отчуждение</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аутсорсинг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производства</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производства</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мероприятий по энергоэффективности и энергосбережению, переход на другую технологию или топливо</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внутренних проектов по сокращению выбросов парниковых газов (объем парниковых газов)</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методологии расчетов (плана мониторинга) (да/нет)</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Сведения по углеродным единицам по установке (полученным, приобретенным, отчужденным и переданным)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507"/>
        <w:gridCol w:w="1495"/>
        <w:gridCol w:w="1636"/>
        <w:gridCol w:w="1213"/>
        <w:gridCol w:w="648"/>
        <w:gridCol w:w="1072"/>
        <w:gridCol w:w="1355"/>
        <w:gridCol w:w="649"/>
        <w:gridCol w:w="931"/>
        <w:gridCol w:w="1072"/>
        <w:gridCol w:w="1215"/>
      </w:tblGrid>
      <w:tr>
        <w:trPr>
          <w:trHeight w:val="30" w:hRule="atLeast"/>
        </w:trPr>
        <w:tc>
          <w:tcPr>
            <w:tcW w:w="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углеродной единицы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единицы квот на период действия Национального плана распределения квот</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полученных единиц квот на период действия Национального плана распределения квот</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объем квот, выданный за отчетный год</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Приобретенные за отчетный год</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Квоты планируемый к приобретению за отчетный год</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Планируемые к получению единицы внутреннего сокращения за отчетный год</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Отчужденные за отчетный год</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Планируемые к отчуждению за отчетный год</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Переданные для погашения квоты за отчетный год</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Планируемые к передаче погашения квоты за отчетный год</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квот</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внутренних сокращений</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Изменения в плане мониторинга за отчетный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2"/>
        <w:gridCol w:w="1193"/>
        <w:gridCol w:w="1193"/>
        <w:gridCol w:w="1193"/>
        <w:gridCol w:w="3030"/>
        <w:gridCol w:w="2112"/>
        <w:gridCol w:w="1193"/>
        <w:gridCol w:w="734"/>
      </w:tblGrid>
      <w:tr>
        <w:trPr>
          <w:trHeight w:val="30" w:hRule="atLeast"/>
        </w:trPr>
        <w:tc>
          <w:tcPr>
            <w:tcW w:w="1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установки</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источника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источника</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в соответствии с планом мониторинга</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Отклонения от плана мониторинга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Подпись руководителя оператора установки (ФИО), печать</w:t>
      </w:r>
    </w:p>
    <w:p>
      <w:pPr>
        <w:spacing w:after="0"/>
        <w:ind w:left="0"/>
        <w:jc w:val="both"/>
      </w:pPr>
      <w:r>
        <w:rPr>
          <w:rFonts w:ascii="Times New Roman"/>
          <w:b w:val="false"/>
          <w:i w:val="false"/>
          <w:color w:val="000000"/>
          <w:sz w:val="28"/>
        </w:rPr>
        <w:t>
            14. Отчет подтвержден аккредитованным органом по валидации и верификации (далее – аккредитованный орган)*_________________________</w:t>
      </w:r>
    </w:p>
    <w:p>
      <w:pPr>
        <w:spacing w:after="0"/>
        <w:ind w:left="0"/>
        <w:jc w:val="both"/>
      </w:pPr>
      <w:r>
        <w:rPr>
          <w:rFonts w:ascii="Times New Roman"/>
          <w:b w:val="false"/>
          <w:i w:val="false"/>
          <w:color w:val="000000"/>
          <w:sz w:val="28"/>
        </w:rPr>
        <w:t>
      с уровнем заверения (разумный или ограниченный) _______________</w:t>
      </w:r>
    </w:p>
    <w:p>
      <w:pPr>
        <w:spacing w:after="0"/>
        <w:ind w:left="0"/>
        <w:jc w:val="both"/>
      </w:pPr>
      <w:r>
        <w:rPr>
          <w:rFonts w:ascii="Times New Roman"/>
          <w:b w:val="false"/>
          <w:i w:val="false"/>
          <w:color w:val="000000"/>
          <w:sz w:val="28"/>
        </w:rPr>
        <w:t>
      1) полное наименование аккредитованного органа, осуществляющего верификацию, БИН;</w:t>
      </w:r>
    </w:p>
    <w:p>
      <w:pPr>
        <w:spacing w:after="0"/>
        <w:ind w:left="0"/>
        <w:jc w:val="both"/>
      </w:pPr>
      <w:r>
        <w:rPr>
          <w:rFonts w:ascii="Times New Roman"/>
          <w:b w:val="false"/>
          <w:i w:val="false"/>
          <w:color w:val="000000"/>
          <w:sz w:val="28"/>
        </w:rPr>
        <w:t>
      2) номер и срок аттестата об аккредитации или дата, серия, номер свидетельства об аккредитации;</w:t>
      </w:r>
    </w:p>
    <w:p>
      <w:pPr>
        <w:spacing w:after="0"/>
        <w:ind w:left="0"/>
        <w:jc w:val="both"/>
      </w:pPr>
      <w:r>
        <w:rPr>
          <w:rFonts w:ascii="Times New Roman"/>
          <w:b w:val="false"/>
          <w:i w:val="false"/>
          <w:color w:val="000000"/>
          <w:sz w:val="28"/>
        </w:rPr>
        <w:t>
      3) юридический адрес аккредитованного органа;</w:t>
      </w:r>
    </w:p>
    <w:p>
      <w:pPr>
        <w:spacing w:after="0"/>
        <w:ind w:left="0"/>
        <w:jc w:val="both"/>
      </w:pPr>
      <w:r>
        <w:rPr>
          <w:rFonts w:ascii="Times New Roman"/>
          <w:b w:val="false"/>
          <w:i w:val="false"/>
          <w:color w:val="000000"/>
          <w:sz w:val="28"/>
        </w:rPr>
        <w:t>
      4) телефон, факс;</w:t>
      </w:r>
    </w:p>
    <w:p>
      <w:pPr>
        <w:spacing w:after="0"/>
        <w:ind w:left="0"/>
        <w:jc w:val="both"/>
      </w:pPr>
      <w:r>
        <w:rPr>
          <w:rFonts w:ascii="Times New Roman"/>
          <w:b w:val="false"/>
          <w:i w:val="false"/>
          <w:color w:val="000000"/>
          <w:sz w:val="28"/>
        </w:rPr>
        <w:t>
      5) электронная почта;</w:t>
      </w:r>
    </w:p>
    <w:p>
      <w:pPr>
        <w:spacing w:after="0"/>
        <w:ind w:left="0"/>
        <w:jc w:val="both"/>
      </w:pPr>
      <w:r>
        <w:rPr>
          <w:rFonts w:ascii="Times New Roman"/>
          <w:b w:val="false"/>
          <w:i w:val="false"/>
          <w:color w:val="000000"/>
          <w:sz w:val="28"/>
        </w:rPr>
        <w:t>
      6) ФИО, ответственного за верификацию;</w:t>
      </w:r>
    </w:p>
    <w:p>
      <w:pPr>
        <w:spacing w:after="0"/>
        <w:ind w:left="0"/>
        <w:jc w:val="both"/>
      </w:pPr>
      <w:r>
        <w:rPr>
          <w:rFonts w:ascii="Times New Roman"/>
          <w:b w:val="false"/>
          <w:i w:val="false"/>
          <w:color w:val="000000"/>
          <w:sz w:val="28"/>
        </w:rPr>
        <w:t>
      7) подтверждение выбросов парниковых газов в следующем объеме:</w:t>
      </w:r>
    </w:p>
    <w:p>
      <w:pPr>
        <w:spacing w:after="0"/>
        <w:ind w:left="0"/>
        <w:jc w:val="both"/>
      </w:pPr>
      <w:r>
        <w:rPr>
          <w:rFonts w:ascii="Times New Roman"/>
          <w:b w:val="false"/>
          <w:i w:val="false"/>
          <w:color w:val="000000"/>
          <w:sz w:val="28"/>
        </w:rPr>
        <w:t>
      _____ тонн двуокиси углерода;</w:t>
      </w:r>
    </w:p>
    <w:p>
      <w:pPr>
        <w:spacing w:after="0"/>
        <w:ind w:left="0"/>
        <w:jc w:val="both"/>
      </w:pPr>
      <w:r>
        <w:rPr>
          <w:rFonts w:ascii="Times New Roman"/>
          <w:b w:val="false"/>
          <w:i w:val="false"/>
          <w:color w:val="000000"/>
          <w:sz w:val="28"/>
        </w:rPr>
        <w:t>
      _____ тонн общих выбросов ПГ в эквиваленте двуокиси углерода;</w:t>
      </w:r>
    </w:p>
    <w:p>
      <w:pPr>
        <w:spacing w:after="0"/>
        <w:ind w:left="0"/>
        <w:jc w:val="both"/>
      </w:pPr>
      <w:r>
        <w:rPr>
          <w:rFonts w:ascii="Times New Roman"/>
          <w:b w:val="false"/>
          <w:i w:val="false"/>
          <w:color w:val="000000"/>
          <w:sz w:val="28"/>
        </w:rPr>
        <w:t>
      8) подпись руководителя аккредитованного органа (ФИО), печать.</w:t>
      </w:r>
    </w:p>
    <w:p>
      <w:pPr>
        <w:spacing w:after="0"/>
        <w:ind w:left="0"/>
        <w:jc w:val="both"/>
      </w:pPr>
      <w:r>
        <w:rPr>
          <w:rFonts w:ascii="Times New Roman"/>
          <w:b w:val="false"/>
          <w:i w:val="false"/>
          <w:color w:val="000000"/>
          <w:sz w:val="28"/>
        </w:rPr>
        <w:t>
      *- верификация отчета об инвентаризации парниковых газов осуществляется независимыми аккредитованными организациями, осуществляющими валидацию и верификацию, до 1 января 2018 года.</w:t>
      </w:r>
    </w:p>
    <w:bookmarkStart w:name="z21" w:id="12"/>
    <w:p>
      <w:pPr>
        <w:spacing w:after="0"/>
        <w:ind w:left="0"/>
        <w:jc w:val="left"/>
      </w:pPr>
      <w:r>
        <w:rPr>
          <w:rFonts w:ascii="Times New Roman"/>
          <w:b/>
          <w:i w:val="false"/>
          <w:color w:val="000000"/>
        </w:rPr>
        <w:t xml:space="preserve"> Пояснение по заполнению</w:t>
      </w:r>
      <w:r>
        <w:br/>
      </w:r>
      <w:r>
        <w:rPr>
          <w:rFonts w:ascii="Times New Roman"/>
          <w:b/>
          <w:i w:val="false"/>
          <w:color w:val="000000"/>
        </w:rPr>
        <w:t>"Формы отчета об инвентаризации парниковых газов для субъектов</w:t>
      </w:r>
      <w:r>
        <w:br/>
      </w:r>
      <w:r>
        <w:rPr>
          <w:rFonts w:ascii="Times New Roman"/>
          <w:b/>
          <w:i w:val="false"/>
          <w:color w:val="000000"/>
        </w:rPr>
        <w:t>распределения квот на выбросы парниковых газов"</w:t>
      </w:r>
    </w:p>
    <w:bookmarkEnd w:id="12"/>
    <w:p>
      <w:pPr>
        <w:spacing w:after="0"/>
        <w:ind w:left="0"/>
        <w:jc w:val="both"/>
      </w:pPr>
      <w:r>
        <w:rPr>
          <w:rFonts w:ascii="Times New Roman"/>
          <w:b w:val="false"/>
          <w:i w:val="false"/>
          <w:color w:val="000000"/>
          <w:sz w:val="28"/>
        </w:rPr>
        <w:t xml:space="preserve">
      1. Форма отчета об инвентаризации парниковых газов для субъектов распределения квот на выбросы парниковых газов (далее – Форма) разработана в соответствии с </w:t>
      </w:r>
      <w:r>
        <w:rPr>
          <w:rFonts w:ascii="Times New Roman"/>
          <w:b w:val="false"/>
          <w:i w:val="false"/>
          <w:color w:val="000000"/>
          <w:sz w:val="28"/>
        </w:rPr>
        <w:t>подпунктом 29)</w:t>
      </w:r>
      <w:r>
        <w:rPr>
          <w:rFonts w:ascii="Times New Roman"/>
          <w:b w:val="false"/>
          <w:i w:val="false"/>
          <w:color w:val="000000"/>
          <w:sz w:val="28"/>
        </w:rPr>
        <w:t xml:space="preserve"> статьи 17 Экологического кодекса Республики Казахстан от 9 января 2007 года.</w:t>
      </w:r>
    </w:p>
    <w:p>
      <w:pPr>
        <w:spacing w:after="0"/>
        <w:ind w:left="0"/>
        <w:jc w:val="both"/>
      </w:pPr>
      <w:r>
        <w:rPr>
          <w:rFonts w:ascii="Times New Roman"/>
          <w:b w:val="false"/>
          <w:i w:val="false"/>
          <w:color w:val="000000"/>
          <w:sz w:val="28"/>
        </w:rPr>
        <w:t xml:space="preserve">
      2. Форма представляется операторами установок, подпадающими под требования по квотированию выбросов парниковых газов в соответствии со </w:t>
      </w:r>
      <w:r>
        <w:rPr>
          <w:rFonts w:ascii="Times New Roman"/>
          <w:b w:val="false"/>
          <w:i w:val="false"/>
          <w:color w:val="000000"/>
          <w:sz w:val="28"/>
        </w:rPr>
        <w:t>статьей 94-2</w:t>
      </w:r>
      <w:r>
        <w:rPr>
          <w:rFonts w:ascii="Times New Roman"/>
          <w:b w:val="false"/>
          <w:i w:val="false"/>
          <w:color w:val="000000"/>
          <w:sz w:val="28"/>
        </w:rPr>
        <w:t xml:space="preserve"> Экологического кодекса Республики Казахстан, ежегодно до 1 апреля года, следующего за отчетным.</w:t>
      </w:r>
    </w:p>
    <w:p>
      <w:pPr>
        <w:spacing w:after="0"/>
        <w:ind w:left="0"/>
        <w:jc w:val="both"/>
      </w:pPr>
      <w:r>
        <w:rPr>
          <w:rFonts w:ascii="Times New Roman"/>
          <w:b w:val="false"/>
          <w:i w:val="false"/>
          <w:color w:val="000000"/>
          <w:sz w:val="28"/>
        </w:rPr>
        <w:t>
      3. Форма заполняется следующим образом:</w:t>
      </w:r>
    </w:p>
    <w:p>
      <w:pPr>
        <w:spacing w:after="0"/>
        <w:ind w:left="0"/>
        <w:jc w:val="both"/>
      </w:pPr>
      <w:r>
        <w:rPr>
          <w:rFonts w:ascii="Times New Roman"/>
          <w:b w:val="false"/>
          <w:i w:val="false"/>
          <w:color w:val="000000"/>
          <w:sz w:val="28"/>
        </w:rPr>
        <w:t>
      в разделе 1 указывается полное наименование и бизнес-идентификационный номер или индивидуальный идентификационный номер оператора установки;</w:t>
      </w:r>
    </w:p>
    <w:p>
      <w:pPr>
        <w:spacing w:after="0"/>
        <w:ind w:left="0"/>
        <w:jc w:val="both"/>
      </w:pPr>
      <w:r>
        <w:rPr>
          <w:rFonts w:ascii="Times New Roman"/>
          <w:b w:val="false"/>
          <w:i w:val="false"/>
          <w:color w:val="000000"/>
          <w:sz w:val="28"/>
        </w:rPr>
        <w:t>
      в разделе 2 указывается юридический адрес оператора установки (область, район/город, населенный пункт);</w:t>
      </w:r>
    </w:p>
    <w:p>
      <w:pPr>
        <w:spacing w:after="0"/>
        <w:ind w:left="0"/>
        <w:jc w:val="both"/>
      </w:pPr>
      <w:r>
        <w:rPr>
          <w:rFonts w:ascii="Times New Roman"/>
          <w:b w:val="false"/>
          <w:i w:val="false"/>
          <w:color w:val="000000"/>
          <w:sz w:val="28"/>
        </w:rPr>
        <w:t>
      в разделе 3 указывается вид деятельности, по которому осуществляется квотирование выбросов парниковых газов по общему классификатору видов экономической деятельности;</w:t>
      </w:r>
    </w:p>
    <w:p>
      <w:pPr>
        <w:spacing w:after="0"/>
        <w:ind w:left="0"/>
        <w:jc w:val="both"/>
      </w:pPr>
      <w:r>
        <w:rPr>
          <w:rFonts w:ascii="Times New Roman"/>
          <w:b w:val="false"/>
          <w:i w:val="false"/>
          <w:color w:val="000000"/>
          <w:sz w:val="28"/>
        </w:rPr>
        <w:t>
      в разделе 4 указывается ответственное лицо по отчету об инвентаризации парниковых газов (Фамилия, имя и отчество – при наличии);</w:t>
      </w:r>
    </w:p>
    <w:p>
      <w:pPr>
        <w:spacing w:after="0"/>
        <w:ind w:left="0"/>
        <w:jc w:val="both"/>
      </w:pPr>
      <w:r>
        <w:rPr>
          <w:rFonts w:ascii="Times New Roman"/>
          <w:b w:val="false"/>
          <w:i w:val="false"/>
          <w:color w:val="000000"/>
          <w:sz w:val="28"/>
        </w:rPr>
        <w:t>
      в разделе 5 указываются контактные данные ответственного лица по отчету об инвентаризации парниковых газов;</w:t>
      </w:r>
    </w:p>
    <w:p>
      <w:pPr>
        <w:spacing w:after="0"/>
        <w:ind w:left="0"/>
        <w:jc w:val="both"/>
      </w:pPr>
      <w:r>
        <w:rPr>
          <w:rFonts w:ascii="Times New Roman"/>
          <w:b w:val="false"/>
          <w:i w:val="false"/>
          <w:color w:val="000000"/>
          <w:sz w:val="28"/>
        </w:rPr>
        <w:t>
      в разделе 6 указывается отчетный год, по итогам которого разработан отчет об инвентаризации выбросов парниковых газов.</w:t>
      </w:r>
    </w:p>
    <w:p>
      <w:pPr>
        <w:spacing w:after="0"/>
        <w:ind w:left="0"/>
        <w:jc w:val="both"/>
      </w:pPr>
      <w:r>
        <w:rPr>
          <w:rFonts w:ascii="Times New Roman"/>
          <w:b w:val="false"/>
          <w:i w:val="false"/>
          <w:color w:val="000000"/>
          <w:sz w:val="28"/>
        </w:rPr>
        <w:t>
      4. В разделе 7 указывается фактический объем выбросов парниковых газов за отчетный год по стационарным источникам или мобильным источникам, приравненным к стационарным:</w:t>
      </w:r>
    </w:p>
    <w:p>
      <w:pPr>
        <w:spacing w:after="0"/>
        <w:ind w:left="0"/>
        <w:jc w:val="both"/>
      </w:pPr>
      <w:r>
        <w:rPr>
          <w:rFonts w:ascii="Times New Roman"/>
          <w:b w:val="false"/>
          <w:i w:val="false"/>
          <w:color w:val="000000"/>
          <w:sz w:val="28"/>
        </w:rPr>
        <w:t>
      в графе Б "Наименование установки" указывается наименование установки;</w:t>
      </w:r>
    </w:p>
    <w:p>
      <w:pPr>
        <w:spacing w:after="0"/>
        <w:ind w:left="0"/>
        <w:jc w:val="both"/>
      </w:pPr>
      <w:r>
        <w:rPr>
          <w:rFonts w:ascii="Times New Roman"/>
          <w:b w:val="false"/>
          <w:i w:val="false"/>
          <w:color w:val="000000"/>
          <w:sz w:val="28"/>
        </w:rPr>
        <w:t>
      в графе В "Наименование источника" указывается полное наименование источника, который является причиной выброса парниковых газов;</w:t>
      </w:r>
    </w:p>
    <w:p>
      <w:pPr>
        <w:spacing w:after="0"/>
        <w:ind w:left="0"/>
        <w:jc w:val="both"/>
      </w:pPr>
      <w:r>
        <w:rPr>
          <w:rFonts w:ascii="Times New Roman"/>
          <w:b w:val="false"/>
          <w:i w:val="false"/>
          <w:color w:val="000000"/>
          <w:sz w:val="28"/>
        </w:rPr>
        <w:t>
      в графе 7.1 "№ источника" указывается номер источника в пределах от 0001 до 5999 согласно схеме их расположения, которая составляется и хранится у оператора установки. При появлении нового источника ему присваивается номер, ранее не использовавшийся. При ликвидации источника его номер в дальнейшем не используется;</w:t>
      </w:r>
    </w:p>
    <w:p>
      <w:pPr>
        <w:spacing w:after="0"/>
        <w:ind w:left="0"/>
        <w:jc w:val="both"/>
      </w:pPr>
      <w:r>
        <w:rPr>
          <w:rFonts w:ascii="Times New Roman"/>
          <w:b w:val="false"/>
          <w:i w:val="false"/>
          <w:color w:val="000000"/>
          <w:sz w:val="28"/>
        </w:rPr>
        <w:t>
      в графе 7.2 "Объем выбросов двуокиси углерода, тонн" указывается объем выбросов двуокиси углерода в тоннах;</w:t>
      </w:r>
    </w:p>
    <w:p>
      <w:pPr>
        <w:spacing w:after="0"/>
        <w:ind w:left="0"/>
        <w:jc w:val="both"/>
      </w:pPr>
      <w:r>
        <w:rPr>
          <w:rFonts w:ascii="Times New Roman"/>
          <w:b w:val="false"/>
          <w:i w:val="false"/>
          <w:color w:val="000000"/>
          <w:sz w:val="28"/>
        </w:rPr>
        <w:t>
      графа "Объем выбросов метана" разделяется на графы 3 и 4. В графе 3 указывается объем выбросов метана в тоннах, в графе 4 указывается объем выбросов метана в эквиваленте тонны двуокиси углерода;</w:t>
      </w:r>
    </w:p>
    <w:p>
      <w:pPr>
        <w:spacing w:after="0"/>
        <w:ind w:left="0"/>
        <w:jc w:val="both"/>
      </w:pPr>
      <w:r>
        <w:rPr>
          <w:rFonts w:ascii="Times New Roman"/>
          <w:b w:val="false"/>
          <w:i w:val="false"/>
          <w:color w:val="000000"/>
          <w:sz w:val="28"/>
        </w:rPr>
        <w:t>
      графа "Объем выбросов закиси азота" разделяется на графы 5 и 6. В графе 5 указывается объем выбросов закиси азота в тоннах, в графе 6 указывается объем выбросов закиси азота в эквиваленте тонны двуокиси углерода;</w:t>
      </w:r>
    </w:p>
    <w:p>
      <w:pPr>
        <w:spacing w:after="0"/>
        <w:ind w:left="0"/>
        <w:jc w:val="both"/>
      </w:pPr>
      <w:r>
        <w:rPr>
          <w:rFonts w:ascii="Times New Roman"/>
          <w:b w:val="false"/>
          <w:i w:val="false"/>
          <w:color w:val="000000"/>
          <w:sz w:val="28"/>
        </w:rPr>
        <w:t>
      графа "Объем выбросов перфторуглеродов" разделяется на графы 7 и 8. В графе 7 указывается объем выбросов перфторуглеродов в тоннах, в графе 8 указывается объем выбросов перфторуглеродов в эквиваленте тонны двуокиси углерода;</w:t>
      </w:r>
    </w:p>
    <w:p>
      <w:pPr>
        <w:spacing w:after="0"/>
        <w:ind w:left="0"/>
        <w:jc w:val="both"/>
      </w:pPr>
      <w:r>
        <w:rPr>
          <w:rFonts w:ascii="Times New Roman"/>
          <w:b w:val="false"/>
          <w:i w:val="false"/>
          <w:color w:val="000000"/>
          <w:sz w:val="28"/>
        </w:rPr>
        <w:t>
      в графе 7.9 "Объем выбросов парниковых газов эквиваленте тонны двуокиси углерода, всего" указывается общий объем выбросов по всем парниковым газам по каждому источнику. Объем выбросов парниковых газов указывается в эквиваленте тонны двуокиси углерода;</w:t>
      </w:r>
    </w:p>
    <w:p>
      <w:pPr>
        <w:spacing w:after="0"/>
        <w:ind w:left="0"/>
        <w:jc w:val="both"/>
      </w:pPr>
      <w:r>
        <w:rPr>
          <w:rFonts w:ascii="Times New Roman"/>
          <w:b w:val="false"/>
          <w:i w:val="false"/>
          <w:color w:val="000000"/>
          <w:sz w:val="28"/>
        </w:rPr>
        <w:t>
      в графе 7.10 "Общий объем выбросов двуокиси углерода по всем источникам, тонн" указывается общий объем выбросов двуокиси углерода по всем источникам в тоннах;</w:t>
      </w:r>
    </w:p>
    <w:p>
      <w:pPr>
        <w:spacing w:after="0"/>
        <w:ind w:left="0"/>
        <w:jc w:val="both"/>
      </w:pPr>
      <w:r>
        <w:rPr>
          <w:rFonts w:ascii="Times New Roman"/>
          <w:b w:val="false"/>
          <w:i w:val="false"/>
          <w:color w:val="000000"/>
          <w:sz w:val="28"/>
        </w:rPr>
        <w:t>
      в графе 7.11 "Общий объем выбросов парниковых газов по всем источникам в эквиваленте тонны двуокиси углерода" указывается общий объем выбросов парниковых газов по всем источникам в эквиваленте тонны двуокиси углерода.</w:t>
      </w:r>
    </w:p>
    <w:p>
      <w:pPr>
        <w:spacing w:after="0"/>
        <w:ind w:left="0"/>
        <w:jc w:val="both"/>
      </w:pPr>
      <w:r>
        <w:rPr>
          <w:rFonts w:ascii="Times New Roman"/>
          <w:b w:val="false"/>
          <w:i w:val="false"/>
          <w:color w:val="000000"/>
          <w:sz w:val="28"/>
        </w:rPr>
        <w:t>
      5. В разделе 8 указывается полное наименование каждой использованной методики по расчету объемов выбросов парниковых газов с указанием использования уровня расчетов.</w:t>
      </w:r>
    </w:p>
    <w:p>
      <w:pPr>
        <w:spacing w:after="0"/>
        <w:ind w:left="0"/>
        <w:jc w:val="both"/>
      </w:pPr>
      <w:r>
        <w:rPr>
          <w:rFonts w:ascii="Times New Roman"/>
          <w:b w:val="false"/>
          <w:i w:val="false"/>
          <w:color w:val="000000"/>
          <w:sz w:val="28"/>
        </w:rPr>
        <w:t>
      6. В разделе 9 указываются коэффициенты, использованные для расчетов:</w:t>
      </w:r>
    </w:p>
    <w:p>
      <w:pPr>
        <w:spacing w:after="0"/>
        <w:ind w:left="0"/>
        <w:jc w:val="both"/>
      </w:pPr>
      <w:r>
        <w:rPr>
          <w:rFonts w:ascii="Times New Roman"/>
          <w:b w:val="false"/>
          <w:i w:val="false"/>
          <w:color w:val="000000"/>
          <w:sz w:val="28"/>
        </w:rPr>
        <w:t>
      в графе Б "Наименование установки" указывается наименование установки;</w:t>
      </w:r>
    </w:p>
    <w:p>
      <w:pPr>
        <w:spacing w:after="0"/>
        <w:ind w:left="0"/>
        <w:jc w:val="both"/>
      </w:pPr>
      <w:r>
        <w:rPr>
          <w:rFonts w:ascii="Times New Roman"/>
          <w:b w:val="false"/>
          <w:i w:val="false"/>
          <w:color w:val="000000"/>
          <w:sz w:val="28"/>
        </w:rPr>
        <w:t>
      в графе В "Наименование источника" указывается полное наименование источника, который является причиной выброса парниковых газов;</w:t>
      </w:r>
    </w:p>
    <w:p>
      <w:pPr>
        <w:spacing w:after="0"/>
        <w:ind w:left="0"/>
        <w:jc w:val="both"/>
      </w:pPr>
      <w:r>
        <w:rPr>
          <w:rFonts w:ascii="Times New Roman"/>
          <w:b w:val="false"/>
          <w:i w:val="false"/>
          <w:color w:val="000000"/>
          <w:sz w:val="28"/>
        </w:rPr>
        <w:t>
      в графе 9.1 "№ источника" указывается номер источника в пределах от 0001 до 5999 согласно схеме их расположения, которая составляется и хранится у оператора установки. При появлении нового источника ему присваивается номер, ранее не использовавшийся. При ликвидации источника его номер в дальнейшем не используется;</w:t>
      </w:r>
    </w:p>
    <w:p>
      <w:pPr>
        <w:spacing w:after="0"/>
        <w:ind w:left="0"/>
        <w:jc w:val="both"/>
      </w:pPr>
      <w:r>
        <w:rPr>
          <w:rFonts w:ascii="Times New Roman"/>
          <w:b w:val="false"/>
          <w:i w:val="false"/>
          <w:color w:val="000000"/>
          <w:sz w:val="28"/>
        </w:rPr>
        <w:t>
      графа "Потребленное топливо" делится на графы 2 и 3. В графе 2 указывается вид использованного потребленного топлива, в графе 3 указывается фактический объем использованного потребленного топлива (в натуральных единицах);</w:t>
      </w:r>
    </w:p>
    <w:p>
      <w:pPr>
        <w:spacing w:after="0"/>
        <w:ind w:left="0"/>
        <w:jc w:val="both"/>
      </w:pPr>
      <w:r>
        <w:rPr>
          <w:rFonts w:ascii="Times New Roman"/>
          <w:b w:val="false"/>
          <w:i w:val="false"/>
          <w:color w:val="000000"/>
          <w:sz w:val="28"/>
        </w:rPr>
        <w:t>
      графа "Произведенная продукция за отчетный год" делится на графы 4, 5 и 6. В графе 4 указывается вид произведенной продукции, в графе 5 указывается количество произведенной продукции в натуральных единицах, в графе 6 указывается объем выбросов парниковых газов от производства каждого вида продукции в тоннах;</w:t>
      </w:r>
    </w:p>
    <w:p>
      <w:pPr>
        <w:spacing w:after="0"/>
        <w:ind w:left="0"/>
        <w:jc w:val="both"/>
      </w:pPr>
      <w:r>
        <w:rPr>
          <w:rFonts w:ascii="Times New Roman"/>
          <w:b w:val="false"/>
          <w:i w:val="false"/>
          <w:color w:val="000000"/>
          <w:sz w:val="28"/>
        </w:rPr>
        <w:t>
      графа "Коэффициенты, использованные для расчетов" подразделяется на графы 7, 8, 9. В графе 7 указывается коэффициент теплотворного нетто-значения, в единицах - терраДжоуль на тонну топлива; в графе 8 в случае сжигания топлива указывается коэффициент окисления либо коэффициент преобразования в случае промышленных процессов, в графе 9 указывается коэффициент выбросов углерода, в единицах - тонн на терраДжоуль или единица продукции.</w:t>
      </w:r>
    </w:p>
    <w:p>
      <w:pPr>
        <w:spacing w:after="0"/>
        <w:ind w:left="0"/>
        <w:jc w:val="both"/>
      </w:pPr>
      <w:r>
        <w:rPr>
          <w:rFonts w:ascii="Times New Roman"/>
          <w:b w:val="false"/>
          <w:i w:val="false"/>
          <w:color w:val="000000"/>
          <w:sz w:val="28"/>
        </w:rPr>
        <w:t>
      7. В разделе 10 указывается изменение данных установок, которые произошли за отчетный год:</w:t>
      </w:r>
    </w:p>
    <w:p>
      <w:pPr>
        <w:spacing w:after="0"/>
        <w:ind w:left="0"/>
        <w:jc w:val="both"/>
      </w:pPr>
      <w:r>
        <w:rPr>
          <w:rFonts w:ascii="Times New Roman"/>
          <w:b w:val="false"/>
          <w:i w:val="false"/>
          <w:color w:val="000000"/>
          <w:sz w:val="28"/>
        </w:rPr>
        <w:t>
      в графе Б "Вид деятельности" указывается вид деятельности, по которому произошли изменения;</w:t>
      </w:r>
    </w:p>
    <w:p>
      <w:pPr>
        <w:spacing w:after="0"/>
        <w:ind w:left="0"/>
        <w:jc w:val="both"/>
      </w:pPr>
      <w:r>
        <w:rPr>
          <w:rFonts w:ascii="Times New Roman"/>
          <w:b w:val="false"/>
          <w:i w:val="false"/>
          <w:color w:val="000000"/>
          <w:sz w:val="28"/>
        </w:rPr>
        <w:t>
      в графе В "Изменение данных установок за отчетный год" описываются изменения установки, которые произошли за отчетный год;</w:t>
      </w:r>
    </w:p>
    <w:p>
      <w:pPr>
        <w:spacing w:after="0"/>
        <w:ind w:left="0"/>
        <w:jc w:val="both"/>
      </w:pPr>
      <w:r>
        <w:rPr>
          <w:rFonts w:ascii="Times New Roman"/>
          <w:b w:val="false"/>
          <w:i w:val="false"/>
          <w:color w:val="000000"/>
          <w:sz w:val="28"/>
        </w:rPr>
        <w:t>
      в графе Г "Примечание" указываются примечания;</w:t>
      </w:r>
    </w:p>
    <w:p>
      <w:pPr>
        <w:spacing w:after="0"/>
        <w:ind w:left="0"/>
        <w:jc w:val="both"/>
      </w:pPr>
      <w:r>
        <w:rPr>
          <w:rFonts w:ascii="Times New Roman"/>
          <w:b w:val="false"/>
          <w:i w:val="false"/>
          <w:color w:val="000000"/>
          <w:sz w:val="28"/>
        </w:rPr>
        <w:t>
      в строке 10.1 "приобретение" указывается, было ли приобретение за отчетный год;</w:t>
      </w:r>
    </w:p>
    <w:p>
      <w:pPr>
        <w:spacing w:after="0"/>
        <w:ind w:left="0"/>
        <w:jc w:val="both"/>
      </w:pPr>
      <w:r>
        <w:rPr>
          <w:rFonts w:ascii="Times New Roman"/>
          <w:b w:val="false"/>
          <w:i w:val="false"/>
          <w:color w:val="000000"/>
          <w:sz w:val="28"/>
        </w:rPr>
        <w:t>
      в строке 10.2 "отчуждение" указывается, было ли отчуждение за отчетный год;</w:t>
      </w:r>
    </w:p>
    <w:p>
      <w:pPr>
        <w:spacing w:after="0"/>
        <w:ind w:left="0"/>
        <w:jc w:val="both"/>
      </w:pPr>
      <w:r>
        <w:rPr>
          <w:rFonts w:ascii="Times New Roman"/>
          <w:b w:val="false"/>
          <w:i w:val="false"/>
          <w:color w:val="000000"/>
          <w:sz w:val="28"/>
        </w:rPr>
        <w:t>
      в строке 10.3 "аутсорсинг" указывается, осуществлялся ли аутсорсинг за отчетный год;</w:t>
      </w:r>
    </w:p>
    <w:p>
      <w:pPr>
        <w:spacing w:after="0"/>
        <w:ind w:left="0"/>
        <w:jc w:val="both"/>
      </w:pPr>
      <w:r>
        <w:rPr>
          <w:rFonts w:ascii="Times New Roman"/>
          <w:b w:val="false"/>
          <w:i w:val="false"/>
          <w:color w:val="000000"/>
          <w:sz w:val="28"/>
        </w:rPr>
        <w:t>
      в строке 10.4 "сокращение производства" указывается, было ли произведено сокращение производства;</w:t>
      </w:r>
    </w:p>
    <w:p>
      <w:pPr>
        <w:spacing w:after="0"/>
        <w:ind w:left="0"/>
        <w:jc w:val="both"/>
      </w:pPr>
      <w:r>
        <w:rPr>
          <w:rFonts w:ascii="Times New Roman"/>
          <w:b w:val="false"/>
          <w:i w:val="false"/>
          <w:color w:val="000000"/>
          <w:sz w:val="28"/>
        </w:rPr>
        <w:t>
      в сроке 10.5 "расширение производства" указывается, было ли произведено расширение производства;</w:t>
      </w:r>
    </w:p>
    <w:p>
      <w:pPr>
        <w:spacing w:after="0"/>
        <w:ind w:left="0"/>
        <w:jc w:val="both"/>
      </w:pPr>
      <w:r>
        <w:rPr>
          <w:rFonts w:ascii="Times New Roman"/>
          <w:b w:val="false"/>
          <w:i w:val="false"/>
          <w:color w:val="000000"/>
          <w:sz w:val="28"/>
        </w:rPr>
        <w:t>
      в строке 10.6 "осуществление мероприятий по энергоэффективности и энергосбережению, переход на другую технологию или топливо" указываются мероприятия по энергоэффективности и энергосбережению, переход на другую технологию или топливо;</w:t>
      </w:r>
    </w:p>
    <w:p>
      <w:pPr>
        <w:spacing w:after="0"/>
        <w:ind w:left="0"/>
        <w:jc w:val="both"/>
      </w:pPr>
      <w:r>
        <w:rPr>
          <w:rFonts w:ascii="Times New Roman"/>
          <w:b w:val="false"/>
          <w:i w:val="false"/>
          <w:color w:val="000000"/>
          <w:sz w:val="28"/>
        </w:rPr>
        <w:t>
      в строке 10.7 "осуществление внутренних проектов по сокращению выбросов парниковых газов (объем парниковых газов)" указывается объем парниковых газов, который был сокращен в результате осуществления внутренних проектов по сокращению выбросов парниковых газов;</w:t>
      </w:r>
    </w:p>
    <w:p>
      <w:pPr>
        <w:spacing w:after="0"/>
        <w:ind w:left="0"/>
        <w:jc w:val="both"/>
      </w:pPr>
      <w:r>
        <w:rPr>
          <w:rFonts w:ascii="Times New Roman"/>
          <w:b w:val="false"/>
          <w:i w:val="false"/>
          <w:color w:val="000000"/>
          <w:sz w:val="28"/>
        </w:rPr>
        <w:t>
      в строке 10.8 "изменение методологии расчетов (плана мониторинга) (да/нет)" указывается, было или не было произведено изменение методологии расчетов;</w:t>
      </w:r>
    </w:p>
    <w:p>
      <w:pPr>
        <w:spacing w:after="0"/>
        <w:ind w:left="0"/>
        <w:jc w:val="both"/>
      </w:pPr>
      <w:r>
        <w:rPr>
          <w:rFonts w:ascii="Times New Roman"/>
          <w:b w:val="false"/>
          <w:i w:val="false"/>
          <w:color w:val="000000"/>
          <w:sz w:val="28"/>
        </w:rPr>
        <w:t>
      в строке 10.9 "другие" указываются иные причины изменений, которые произошли по установкам в течение отчетного года.</w:t>
      </w:r>
    </w:p>
    <w:p>
      <w:pPr>
        <w:spacing w:after="0"/>
        <w:ind w:left="0"/>
        <w:jc w:val="both"/>
      </w:pPr>
      <w:r>
        <w:rPr>
          <w:rFonts w:ascii="Times New Roman"/>
          <w:b w:val="false"/>
          <w:i w:val="false"/>
          <w:color w:val="000000"/>
          <w:sz w:val="28"/>
        </w:rPr>
        <w:t>
      8. В разделе 11 указываются сведения по углеродным единицам (полученным, приобретенным, отчужденным и переданным) по каждой установке:</w:t>
      </w:r>
    </w:p>
    <w:p>
      <w:pPr>
        <w:spacing w:after="0"/>
        <w:ind w:left="0"/>
        <w:jc w:val="both"/>
      </w:pPr>
      <w:r>
        <w:rPr>
          <w:rFonts w:ascii="Times New Roman"/>
          <w:b w:val="false"/>
          <w:i w:val="false"/>
          <w:color w:val="000000"/>
          <w:sz w:val="28"/>
        </w:rPr>
        <w:t>
      в графе Б "Вид углеродной единицы" указывается вид углеродной единицы;</w:t>
      </w:r>
    </w:p>
    <w:p>
      <w:pPr>
        <w:spacing w:after="0"/>
        <w:ind w:left="0"/>
        <w:jc w:val="both"/>
      </w:pPr>
      <w:r>
        <w:rPr>
          <w:rFonts w:ascii="Times New Roman"/>
          <w:b w:val="false"/>
          <w:i w:val="false"/>
          <w:color w:val="000000"/>
          <w:sz w:val="28"/>
        </w:rPr>
        <w:t>
      в графе 11.1 "Полученные единицы квот на период действия Национального плана распределения квот" указывается объем единиц квот, полученный на период действия Национального плана распределения квот;</w:t>
      </w:r>
    </w:p>
    <w:p>
      <w:pPr>
        <w:spacing w:after="0"/>
        <w:ind w:left="0"/>
        <w:jc w:val="both"/>
      </w:pPr>
      <w:r>
        <w:rPr>
          <w:rFonts w:ascii="Times New Roman"/>
          <w:b w:val="false"/>
          <w:i w:val="false"/>
          <w:color w:val="000000"/>
          <w:sz w:val="28"/>
        </w:rPr>
        <w:t>
      в графе 11.2 "Остаток полученных единиц квот на период действия Национального плана распределения квот" указывается остаток полученных единиц квот на период действия Национального плана распределения квот с учетом погашенных единиц квот за прошлый отчетный период;</w:t>
      </w:r>
    </w:p>
    <w:p>
      <w:pPr>
        <w:spacing w:after="0"/>
        <w:ind w:left="0"/>
        <w:jc w:val="both"/>
      </w:pPr>
      <w:r>
        <w:rPr>
          <w:rFonts w:ascii="Times New Roman"/>
          <w:b w:val="false"/>
          <w:i w:val="false"/>
          <w:color w:val="000000"/>
          <w:sz w:val="28"/>
        </w:rPr>
        <w:t>
      в графе 11.3 "Дополнительный объем квот, выданный за отчетный год" указывается дополнительный объем единиц квот, выданный уполномоченным органом в отчетном году;</w:t>
      </w:r>
    </w:p>
    <w:p>
      <w:pPr>
        <w:spacing w:after="0"/>
        <w:ind w:left="0"/>
        <w:jc w:val="both"/>
      </w:pPr>
      <w:r>
        <w:rPr>
          <w:rFonts w:ascii="Times New Roman"/>
          <w:b w:val="false"/>
          <w:i w:val="false"/>
          <w:color w:val="000000"/>
          <w:sz w:val="28"/>
        </w:rPr>
        <w:t>
      в графе 11.4 "Приобретенные за отчетный год" указывается объем единиц квот, приобретенный на отчетный год;</w:t>
      </w:r>
    </w:p>
    <w:p>
      <w:pPr>
        <w:spacing w:after="0"/>
        <w:ind w:left="0"/>
        <w:jc w:val="both"/>
      </w:pPr>
      <w:r>
        <w:rPr>
          <w:rFonts w:ascii="Times New Roman"/>
          <w:b w:val="false"/>
          <w:i w:val="false"/>
          <w:color w:val="000000"/>
          <w:sz w:val="28"/>
        </w:rPr>
        <w:t>
      в графе 11.5 "Квоты, планируемый к приобретению за отчетный год" указывается объем единиц квот, планируемый к приобретению за отчетный год;</w:t>
      </w:r>
    </w:p>
    <w:p>
      <w:pPr>
        <w:spacing w:after="0"/>
        <w:ind w:left="0"/>
        <w:jc w:val="both"/>
      </w:pPr>
      <w:r>
        <w:rPr>
          <w:rFonts w:ascii="Times New Roman"/>
          <w:b w:val="false"/>
          <w:i w:val="false"/>
          <w:color w:val="000000"/>
          <w:sz w:val="28"/>
        </w:rPr>
        <w:t>
      в графе 11.6 "Планируемые к получению единицы внутреннего сокращения за отчетный год" указывается объем единиц внутреннего сокращения, планируемый к получению за отчетный год;</w:t>
      </w:r>
    </w:p>
    <w:p>
      <w:pPr>
        <w:spacing w:after="0"/>
        <w:ind w:left="0"/>
        <w:jc w:val="both"/>
      </w:pPr>
      <w:r>
        <w:rPr>
          <w:rFonts w:ascii="Times New Roman"/>
          <w:b w:val="false"/>
          <w:i w:val="false"/>
          <w:color w:val="000000"/>
          <w:sz w:val="28"/>
        </w:rPr>
        <w:t>
      в графе 11.7 "Отчужденные за отчетный год" указывается объем единиц квот, отчужденный на отчетный год;</w:t>
      </w:r>
    </w:p>
    <w:p>
      <w:pPr>
        <w:spacing w:after="0"/>
        <w:ind w:left="0"/>
        <w:jc w:val="both"/>
      </w:pPr>
      <w:r>
        <w:rPr>
          <w:rFonts w:ascii="Times New Roman"/>
          <w:b w:val="false"/>
          <w:i w:val="false"/>
          <w:color w:val="000000"/>
          <w:sz w:val="28"/>
        </w:rPr>
        <w:t>
      в графе 11.8 " Планируемые к отчуждению за отчетный год" указывается объем единиц квот, планируемый к отчуждению за отчетный год;</w:t>
      </w:r>
    </w:p>
    <w:p>
      <w:pPr>
        <w:spacing w:after="0"/>
        <w:ind w:left="0"/>
        <w:jc w:val="both"/>
      </w:pPr>
      <w:r>
        <w:rPr>
          <w:rFonts w:ascii="Times New Roman"/>
          <w:b w:val="false"/>
          <w:i w:val="false"/>
          <w:color w:val="000000"/>
          <w:sz w:val="28"/>
        </w:rPr>
        <w:t>
      в графе 11.9 "Переданные для погашения квоты за отчетный год" указывается объем единиц квот, переданный для погашения квоты за отчетный год;</w:t>
      </w:r>
    </w:p>
    <w:p>
      <w:pPr>
        <w:spacing w:after="0"/>
        <w:ind w:left="0"/>
        <w:jc w:val="both"/>
      </w:pPr>
      <w:r>
        <w:rPr>
          <w:rFonts w:ascii="Times New Roman"/>
          <w:b w:val="false"/>
          <w:i w:val="false"/>
          <w:color w:val="000000"/>
          <w:sz w:val="28"/>
        </w:rPr>
        <w:t>
      в графе 11.10 "Планируемые к передаче погашения квоты за отчетный год" указывается объем единиц квот, переданный для погашения квоты за отчетный год;</w:t>
      </w:r>
    </w:p>
    <w:p>
      <w:pPr>
        <w:spacing w:after="0"/>
        <w:ind w:left="0"/>
        <w:jc w:val="both"/>
      </w:pPr>
      <w:r>
        <w:rPr>
          <w:rFonts w:ascii="Times New Roman"/>
          <w:b w:val="false"/>
          <w:i w:val="false"/>
          <w:color w:val="000000"/>
          <w:sz w:val="28"/>
        </w:rPr>
        <w:t>
      в строке 11.1 "Единицы квот" указывается объем единиц квот, по графам Б, 11.1, 11.2, 11.3, 11.4, 11.5, 11.7, 11.8, 11.9, 11.10;</w:t>
      </w:r>
    </w:p>
    <w:p>
      <w:pPr>
        <w:spacing w:after="0"/>
        <w:ind w:left="0"/>
        <w:jc w:val="both"/>
      </w:pPr>
      <w:r>
        <w:rPr>
          <w:rFonts w:ascii="Times New Roman"/>
          <w:b w:val="false"/>
          <w:i w:val="false"/>
          <w:color w:val="000000"/>
          <w:sz w:val="28"/>
        </w:rPr>
        <w:t>
      в строке 11.2 "Единицы внутренних сокращений выбросов" указывается объем единиц внутренних сокращений выбросов парниковых газов;</w:t>
      </w:r>
    </w:p>
    <w:p>
      <w:pPr>
        <w:spacing w:after="0"/>
        <w:ind w:left="0"/>
        <w:jc w:val="both"/>
      </w:pPr>
      <w:r>
        <w:rPr>
          <w:rFonts w:ascii="Times New Roman"/>
          <w:b w:val="false"/>
          <w:i w:val="false"/>
          <w:color w:val="000000"/>
          <w:sz w:val="28"/>
        </w:rPr>
        <w:t>
      в строке 11.3 "Всего" указывается общий объем единиц квот, по графам Б, 11.1, 11.2, 11.3, 11.4, 11.5, 11.6, 11.7, 11.8,11.9.</w:t>
      </w:r>
    </w:p>
    <w:p>
      <w:pPr>
        <w:spacing w:after="0"/>
        <w:ind w:left="0"/>
        <w:jc w:val="both"/>
      </w:pPr>
      <w:r>
        <w:rPr>
          <w:rFonts w:ascii="Times New Roman"/>
          <w:b w:val="false"/>
          <w:i w:val="false"/>
          <w:color w:val="000000"/>
          <w:sz w:val="28"/>
        </w:rPr>
        <w:t>
      9. В разделе 12 указываются изменения в плане мониторинга за отчетный год:</w:t>
      </w:r>
    </w:p>
    <w:p>
      <w:pPr>
        <w:spacing w:after="0"/>
        <w:ind w:left="0"/>
        <w:jc w:val="both"/>
      </w:pPr>
      <w:r>
        <w:rPr>
          <w:rFonts w:ascii="Times New Roman"/>
          <w:b w:val="false"/>
          <w:i w:val="false"/>
          <w:color w:val="000000"/>
          <w:sz w:val="28"/>
        </w:rPr>
        <w:t>
      в графе Б "Наименование установки" указывается наименование установки;</w:t>
      </w:r>
    </w:p>
    <w:p>
      <w:pPr>
        <w:spacing w:after="0"/>
        <w:ind w:left="0"/>
        <w:jc w:val="both"/>
      </w:pPr>
      <w:r>
        <w:rPr>
          <w:rFonts w:ascii="Times New Roman"/>
          <w:b w:val="false"/>
          <w:i w:val="false"/>
          <w:color w:val="000000"/>
          <w:sz w:val="28"/>
        </w:rPr>
        <w:t>
      в графе В "Наименование источника" указывается полное наименование источника, который является причиной выброса парниковых газов;</w:t>
      </w:r>
    </w:p>
    <w:p>
      <w:pPr>
        <w:spacing w:after="0"/>
        <w:ind w:left="0"/>
        <w:jc w:val="both"/>
      </w:pPr>
      <w:r>
        <w:rPr>
          <w:rFonts w:ascii="Times New Roman"/>
          <w:b w:val="false"/>
          <w:i w:val="false"/>
          <w:color w:val="000000"/>
          <w:sz w:val="28"/>
        </w:rPr>
        <w:t>
      в графе Г "№ источника" указывается номер источника в пределах от 0001 до 5999 согласно схеме их расположения, которая составляется и хранится у оператора установки. При появлении нового источника ему присваивается номер, ранее не использовавшийся. При ликвидации источника его номер в дальнейшем не используется;</w:t>
      </w:r>
    </w:p>
    <w:p>
      <w:pPr>
        <w:spacing w:after="0"/>
        <w:ind w:left="0"/>
        <w:jc w:val="both"/>
      </w:pPr>
      <w:r>
        <w:rPr>
          <w:rFonts w:ascii="Times New Roman"/>
          <w:b w:val="false"/>
          <w:i w:val="false"/>
          <w:color w:val="000000"/>
          <w:sz w:val="28"/>
        </w:rPr>
        <w:t>
      в графе Д "Периодичность в соответствии с планом мониторинга" указывается периодичность мониторинга в соответствии с планом мониторинга;</w:t>
      </w:r>
    </w:p>
    <w:p>
      <w:pPr>
        <w:spacing w:after="0"/>
        <w:ind w:left="0"/>
        <w:jc w:val="both"/>
      </w:pPr>
      <w:r>
        <w:rPr>
          <w:rFonts w:ascii="Times New Roman"/>
          <w:b w:val="false"/>
          <w:i w:val="false"/>
          <w:color w:val="000000"/>
          <w:sz w:val="28"/>
        </w:rPr>
        <w:t>
      в графе Е "Отклонения от плана мониторинга " указываются отклонения от плана мониторинга;</w:t>
      </w:r>
    </w:p>
    <w:p>
      <w:pPr>
        <w:spacing w:after="0"/>
        <w:ind w:left="0"/>
        <w:jc w:val="both"/>
      </w:pPr>
      <w:r>
        <w:rPr>
          <w:rFonts w:ascii="Times New Roman"/>
          <w:b w:val="false"/>
          <w:i w:val="false"/>
          <w:color w:val="000000"/>
          <w:sz w:val="28"/>
        </w:rPr>
        <w:t>
      в графе Ж "Причины отклонения" указываются причины отклонения от плана мониторинга;</w:t>
      </w:r>
    </w:p>
    <w:p>
      <w:pPr>
        <w:spacing w:after="0"/>
        <w:ind w:left="0"/>
        <w:jc w:val="both"/>
      </w:pPr>
      <w:r>
        <w:rPr>
          <w:rFonts w:ascii="Times New Roman"/>
          <w:b w:val="false"/>
          <w:i w:val="false"/>
          <w:color w:val="000000"/>
          <w:sz w:val="28"/>
        </w:rPr>
        <w:t>
      в графе З "Примечание" указываются примечания.</w:t>
      </w:r>
    </w:p>
    <w:p>
      <w:pPr>
        <w:spacing w:after="0"/>
        <w:ind w:left="0"/>
        <w:jc w:val="both"/>
      </w:pPr>
      <w:r>
        <w:rPr>
          <w:rFonts w:ascii="Times New Roman"/>
          <w:b w:val="false"/>
          <w:i w:val="false"/>
          <w:color w:val="000000"/>
          <w:sz w:val="28"/>
        </w:rPr>
        <w:t>
      10. В разделе 13 указывается подпись руководителя оператора установки, фамилия, имя, отчество при наличии, ставится печать.</w:t>
      </w:r>
    </w:p>
    <w:p>
      <w:pPr>
        <w:spacing w:after="0"/>
        <w:ind w:left="0"/>
        <w:jc w:val="both"/>
      </w:pPr>
      <w:r>
        <w:rPr>
          <w:rFonts w:ascii="Times New Roman"/>
          <w:b w:val="false"/>
          <w:i w:val="false"/>
          <w:color w:val="000000"/>
          <w:sz w:val="28"/>
        </w:rPr>
        <w:t>
      11. В разделе 14 указывается подтверждение отчета об инвентаризации выбросов парниковых газов аккредитованным органом по валидации и верификации:</w:t>
      </w:r>
    </w:p>
    <w:p>
      <w:pPr>
        <w:spacing w:after="0"/>
        <w:ind w:left="0"/>
        <w:jc w:val="both"/>
      </w:pPr>
      <w:r>
        <w:rPr>
          <w:rFonts w:ascii="Times New Roman"/>
          <w:b w:val="false"/>
          <w:i w:val="false"/>
          <w:color w:val="000000"/>
          <w:sz w:val="28"/>
        </w:rPr>
        <w:t>
      указывается уровень заверения (разумный или ограниченный);</w:t>
      </w:r>
    </w:p>
    <w:p>
      <w:pPr>
        <w:spacing w:after="0"/>
        <w:ind w:left="0"/>
        <w:jc w:val="both"/>
      </w:pPr>
      <w:r>
        <w:rPr>
          <w:rFonts w:ascii="Times New Roman"/>
          <w:b w:val="false"/>
          <w:i w:val="false"/>
          <w:color w:val="000000"/>
          <w:sz w:val="28"/>
        </w:rPr>
        <w:t>
      в подпункте 1) указывается полное наименование аккредитованного органа по валидации и верификации, осуществляющего верификацию, БИН;</w:t>
      </w:r>
    </w:p>
    <w:p>
      <w:pPr>
        <w:spacing w:after="0"/>
        <w:ind w:left="0"/>
        <w:jc w:val="both"/>
      </w:pPr>
      <w:r>
        <w:rPr>
          <w:rFonts w:ascii="Times New Roman"/>
          <w:b w:val="false"/>
          <w:i w:val="false"/>
          <w:color w:val="000000"/>
          <w:sz w:val="28"/>
        </w:rPr>
        <w:t>
      в подпункте 2) номер и срок аттестата об аккредитации или дата, серия, номер свидетельства об аккредитации;</w:t>
      </w:r>
    </w:p>
    <w:p>
      <w:pPr>
        <w:spacing w:after="0"/>
        <w:ind w:left="0"/>
        <w:jc w:val="both"/>
      </w:pPr>
      <w:r>
        <w:rPr>
          <w:rFonts w:ascii="Times New Roman"/>
          <w:b w:val="false"/>
          <w:i w:val="false"/>
          <w:color w:val="000000"/>
          <w:sz w:val="28"/>
        </w:rPr>
        <w:t>
      в подпункте 3) указывается юридический адрес аккредитованного органа по валидации и верификации;</w:t>
      </w:r>
    </w:p>
    <w:p>
      <w:pPr>
        <w:spacing w:after="0"/>
        <w:ind w:left="0"/>
        <w:jc w:val="both"/>
      </w:pPr>
      <w:r>
        <w:rPr>
          <w:rFonts w:ascii="Times New Roman"/>
          <w:b w:val="false"/>
          <w:i w:val="false"/>
          <w:color w:val="000000"/>
          <w:sz w:val="28"/>
        </w:rPr>
        <w:t>
      в подпункте 4) указывается номер телефона, факса верификатора;</w:t>
      </w:r>
    </w:p>
    <w:p>
      <w:pPr>
        <w:spacing w:after="0"/>
        <w:ind w:left="0"/>
        <w:jc w:val="both"/>
      </w:pPr>
      <w:r>
        <w:rPr>
          <w:rFonts w:ascii="Times New Roman"/>
          <w:b w:val="false"/>
          <w:i w:val="false"/>
          <w:color w:val="000000"/>
          <w:sz w:val="28"/>
        </w:rPr>
        <w:t>
      в подпункте 5) указывается электронная почта верификатора;</w:t>
      </w:r>
    </w:p>
    <w:p>
      <w:pPr>
        <w:spacing w:after="0"/>
        <w:ind w:left="0"/>
        <w:jc w:val="both"/>
      </w:pPr>
      <w:r>
        <w:rPr>
          <w:rFonts w:ascii="Times New Roman"/>
          <w:b w:val="false"/>
          <w:i w:val="false"/>
          <w:color w:val="000000"/>
          <w:sz w:val="28"/>
        </w:rPr>
        <w:t>
      в подпункте 6) указывается фамилия, имя, отчество при наличии, ответственного за верификацию;</w:t>
      </w:r>
    </w:p>
    <w:p>
      <w:pPr>
        <w:spacing w:after="0"/>
        <w:ind w:left="0"/>
        <w:jc w:val="both"/>
      </w:pPr>
      <w:r>
        <w:rPr>
          <w:rFonts w:ascii="Times New Roman"/>
          <w:b w:val="false"/>
          <w:i w:val="false"/>
          <w:color w:val="000000"/>
          <w:sz w:val="28"/>
        </w:rPr>
        <w:t>
      в подпункте 7) указывается подтверждаемый объем выбросов парниковых газов в тоннах двуокиси углерода; а также объем общих выбросов парниковых газов в эквиваленте двуокиси углерода;</w:t>
      </w:r>
    </w:p>
    <w:p>
      <w:pPr>
        <w:spacing w:after="0"/>
        <w:ind w:left="0"/>
        <w:jc w:val="both"/>
      </w:pPr>
      <w:r>
        <w:rPr>
          <w:rFonts w:ascii="Times New Roman"/>
          <w:b w:val="false"/>
          <w:i w:val="false"/>
          <w:color w:val="000000"/>
          <w:sz w:val="28"/>
        </w:rPr>
        <w:t>
      в подпункте 8) указывается подпись руководителя аккредитованного органа по валидации и верификации с фамилией, именем, отчеством при наличии, печать.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июня 2016 года № 233</w:t>
            </w:r>
            <w:r>
              <w:br/>
            </w:r>
            <w:r>
              <w:rPr>
                <w:rFonts w:ascii="Times New Roman"/>
                <w:b w:val="false"/>
                <w:i w:val="false"/>
                <w:color w:val="000000"/>
                <w:sz w:val="20"/>
              </w:rPr>
              <w:t>Приложение 2</w:t>
            </w:r>
            <w:r>
              <w:br/>
            </w:r>
            <w:r>
              <w:rPr>
                <w:rFonts w:ascii="Times New Roman"/>
                <w:b w:val="false"/>
                <w:i w:val="false"/>
                <w:color w:val="000000"/>
                <w:sz w:val="20"/>
              </w:rPr>
              <w:t>к приказу и.о.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июля 2015 года № 502</w:t>
            </w:r>
            <w:r>
              <w:br/>
            </w:r>
            <w:r>
              <w:rPr>
                <w:rFonts w:ascii="Times New Roman"/>
                <w:b w:val="false"/>
                <w:i w:val="false"/>
                <w:color w:val="000000"/>
                <w:sz w:val="20"/>
              </w:rPr>
              <w:t>форма 2</w:t>
            </w:r>
          </w:p>
        </w:tc>
      </w:tr>
    </w:tbl>
    <w:bookmarkStart w:name="z25" w:id="13"/>
    <w:p>
      <w:pPr>
        <w:spacing w:after="0"/>
        <w:ind w:left="0"/>
        <w:jc w:val="left"/>
      </w:pPr>
      <w:r>
        <w:rPr>
          <w:rFonts w:ascii="Times New Roman"/>
          <w:b/>
          <w:i w:val="false"/>
          <w:color w:val="000000"/>
        </w:rPr>
        <w:t xml:space="preserve"> Отчет об инвентаризации парниковых газов для субъектов</w:t>
      </w:r>
      <w:r>
        <w:br/>
      </w:r>
      <w:r>
        <w:rPr>
          <w:rFonts w:ascii="Times New Roman"/>
          <w:b/>
          <w:i w:val="false"/>
          <w:color w:val="000000"/>
        </w:rPr>
        <w:t>администрирования</w:t>
      </w:r>
    </w:p>
    <w:bookmarkEnd w:id="13"/>
    <w:p>
      <w:pPr>
        <w:spacing w:after="0"/>
        <w:ind w:left="0"/>
        <w:jc w:val="both"/>
      </w:pPr>
      <w:r>
        <w:rPr>
          <w:rFonts w:ascii="Times New Roman"/>
          <w:b w:val="false"/>
          <w:i w:val="false"/>
          <w:color w:val="000000"/>
          <w:sz w:val="28"/>
        </w:rPr>
        <w:t xml:space="preserve">
      </w:t>
      </w:r>
      <w:r>
        <w:rPr>
          <w:rFonts w:ascii="Times New Roman"/>
          <w:b/>
          <w:i w:val="false"/>
          <w:color w:val="000000"/>
          <w:sz w:val="28"/>
        </w:rPr>
        <w:t>Индекс:</w:t>
      </w:r>
      <w:r>
        <w:rPr>
          <w:rFonts w:ascii="Times New Roman"/>
          <w:b w:val="false"/>
          <w:i w:val="false"/>
          <w:color w:val="000000"/>
          <w:sz w:val="28"/>
        </w:rPr>
        <w:t xml:space="preserve"> форма № 2</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Периодичность:</w:t>
      </w:r>
      <w:r>
        <w:rPr>
          <w:rFonts w:ascii="Times New Roman"/>
          <w:b w:val="false"/>
          <w:i w:val="false"/>
          <w:color w:val="000000"/>
          <w:sz w:val="28"/>
        </w:rPr>
        <w:t xml:space="preserve"> годовая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Круг лиц представляющих:</w:t>
      </w:r>
      <w:r>
        <w:rPr>
          <w:rFonts w:ascii="Times New Roman"/>
          <w:b w:val="false"/>
          <w:i w:val="false"/>
          <w:color w:val="000000"/>
          <w:sz w:val="28"/>
        </w:rPr>
        <w:t xml:space="preserve"> операторы установок, подпадающие под требования по квотированию выбросов парниковых газов в соответствии со </w:t>
      </w:r>
      <w:r>
        <w:rPr>
          <w:rFonts w:ascii="Times New Roman"/>
          <w:b w:val="false"/>
          <w:i w:val="false"/>
          <w:color w:val="000000"/>
          <w:sz w:val="28"/>
        </w:rPr>
        <w:t>статьей 94-6</w:t>
      </w:r>
      <w:r>
        <w:rPr>
          <w:rFonts w:ascii="Times New Roman"/>
          <w:b w:val="false"/>
          <w:i w:val="false"/>
          <w:color w:val="000000"/>
          <w:sz w:val="28"/>
        </w:rPr>
        <w:t xml:space="preserve"> Экологического кодекса Республики Казахстан.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Куда представляется:</w:t>
      </w:r>
      <w:r>
        <w:rPr>
          <w:rFonts w:ascii="Times New Roman"/>
          <w:b w:val="false"/>
          <w:i w:val="false"/>
          <w:color w:val="000000"/>
          <w:sz w:val="28"/>
        </w:rPr>
        <w:t xml:space="preserve"> территориальные подразделения уполномоченного органа в области охраны окружающей среды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Срок представления:</w:t>
      </w:r>
      <w:r>
        <w:rPr>
          <w:rFonts w:ascii="Times New Roman"/>
          <w:b w:val="false"/>
          <w:i w:val="false"/>
          <w:color w:val="000000"/>
          <w:sz w:val="28"/>
        </w:rPr>
        <w:t xml:space="preserve"> до 1 апреля года, следующего за отчетным.</w:t>
      </w:r>
    </w:p>
    <w:bookmarkStart w:name="z26" w:id="14"/>
    <w:p>
      <w:pPr>
        <w:spacing w:after="0"/>
        <w:ind w:left="0"/>
        <w:jc w:val="left"/>
      </w:pPr>
      <w:r>
        <w:rPr>
          <w:rFonts w:ascii="Times New Roman"/>
          <w:b/>
          <w:i w:val="false"/>
          <w:color w:val="000000"/>
        </w:rPr>
        <w:t xml:space="preserve"> Отчет об инвентаризации парниковых газов</w:t>
      </w:r>
      <w:r>
        <w:br/>
      </w:r>
      <w:r>
        <w:rPr>
          <w:rFonts w:ascii="Times New Roman"/>
          <w:b/>
          <w:i w:val="false"/>
          <w:color w:val="000000"/>
        </w:rPr>
        <w:t>для субъектов администрирования</w:t>
      </w:r>
    </w:p>
    <w:bookmarkEnd w:id="14"/>
    <w:p>
      <w:pPr>
        <w:spacing w:after="0"/>
        <w:ind w:left="0"/>
        <w:jc w:val="both"/>
      </w:pPr>
      <w:r>
        <w:rPr>
          <w:rFonts w:ascii="Times New Roman"/>
          <w:b w:val="false"/>
          <w:i w:val="false"/>
          <w:color w:val="000000"/>
          <w:sz w:val="28"/>
        </w:rPr>
        <w:t>
            1. Полное наименование, бизнес-идентификационный номер (далее - БИН), или индивидуальный идентификационный номер оператора установки ___________________________________________________________</w:t>
      </w:r>
    </w:p>
    <w:p>
      <w:pPr>
        <w:spacing w:after="0"/>
        <w:ind w:left="0"/>
        <w:jc w:val="both"/>
      </w:pPr>
      <w:r>
        <w:rPr>
          <w:rFonts w:ascii="Times New Roman"/>
          <w:b w:val="false"/>
          <w:i w:val="false"/>
          <w:color w:val="000000"/>
          <w:sz w:val="28"/>
        </w:rPr>
        <w:t>
      2. Юридический адрес организации(область, район/город, село)___</w:t>
      </w:r>
    </w:p>
    <w:p>
      <w:pPr>
        <w:spacing w:after="0"/>
        <w:ind w:left="0"/>
        <w:jc w:val="both"/>
      </w:pPr>
      <w:r>
        <w:rPr>
          <w:rFonts w:ascii="Times New Roman"/>
          <w:b w:val="false"/>
          <w:i w:val="false"/>
          <w:color w:val="000000"/>
          <w:sz w:val="28"/>
        </w:rPr>
        <w:t>
            3. Вид деятельности по общему классификатору видов экономической деятельности __________________________________________</w:t>
      </w:r>
    </w:p>
    <w:p>
      <w:pPr>
        <w:spacing w:after="0"/>
        <w:ind w:left="0"/>
        <w:jc w:val="both"/>
      </w:pPr>
      <w:r>
        <w:rPr>
          <w:rFonts w:ascii="Times New Roman"/>
          <w:b w:val="false"/>
          <w:i w:val="false"/>
          <w:color w:val="000000"/>
          <w:sz w:val="28"/>
        </w:rPr>
        <w:t>
            4. Ответственное лицо по отчету об инвентаризации парниковых газов (Фамилия, имя и отчество – при наличии (далее - ФИО)) _______________________________________________________________</w:t>
      </w:r>
    </w:p>
    <w:p>
      <w:pPr>
        <w:spacing w:after="0"/>
        <w:ind w:left="0"/>
        <w:jc w:val="both"/>
      </w:pPr>
      <w:r>
        <w:rPr>
          <w:rFonts w:ascii="Times New Roman"/>
          <w:b w:val="false"/>
          <w:i w:val="false"/>
          <w:color w:val="000000"/>
          <w:sz w:val="28"/>
        </w:rPr>
        <w:t>
            5. Контактные данные ответственного лица по отчету об инвентаризации парниковых газов _____________________________________</w:t>
      </w:r>
    </w:p>
    <w:p>
      <w:pPr>
        <w:spacing w:after="0"/>
        <w:ind w:left="0"/>
        <w:jc w:val="both"/>
      </w:pPr>
      <w:r>
        <w:rPr>
          <w:rFonts w:ascii="Times New Roman"/>
          <w:b w:val="false"/>
          <w:i w:val="false"/>
          <w:color w:val="000000"/>
          <w:sz w:val="28"/>
        </w:rPr>
        <w:t>
      6. Отчетный год _______________________________________________</w:t>
      </w:r>
    </w:p>
    <w:p>
      <w:pPr>
        <w:spacing w:after="0"/>
        <w:ind w:left="0"/>
        <w:jc w:val="both"/>
      </w:pPr>
      <w:r>
        <w:rPr>
          <w:rFonts w:ascii="Times New Roman"/>
          <w:b w:val="false"/>
          <w:i w:val="false"/>
          <w:color w:val="000000"/>
          <w:sz w:val="28"/>
        </w:rPr>
        <w:t>
      7. Фактический объем выбросов парниковых газов за отчетный год по стационарным источникам или мобильным источникам, приравненным к стационарным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387"/>
        <w:gridCol w:w="387"/>
        <w:gridCol w:w="537"/>
        <w:gridCol w:w="985"/>
        <w:gridCol w:w="537"/>
        <w:gridCol w:w="836"/>
        <w:gridCol w:w="537"/>
        <w:gridCol w:w="836"/>
        <w:gridCol w:w="537"/>
        <w:gridCol w:w="836"/>
        <w:gridCol w:w="1732"/>
        <w:gridCol w:w="1583"/>
        <w:gridCol w:w="2033"/>
      </w:tblGrid>
      <w:tr>
        <w:trPr>
          <w:trHeight w:val="30" w:hRule="atLeast"/>
        </w:trPr>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установки</w:t>
            </w:r>
          </w:p>
        </w:tc>
        <w:tc>
          <w:tcPr>
            <w:tcW w:w="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источника</w:t>
            </w:r>
          </w:p>
        </w:tc>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источника</w:t>
            </w:r>
          </w:p>
        </w:tc>
        <w:tc>
          <w:tcPr>
            <w:tcW w:w="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выбросов двуокиси углерода,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выбросов метана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выбросов закиси азота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выбросов перфторуглеродов</w:t>
            </w:r>
          </w:p>
        </w:tc>
        <w:tc>
          <w:tcPr>
            <w:tcW w:w="1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выбросов парниковых газов в эквиваленте тонны двуокиси углерода, всего</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выбросов двуокиси углерода по всем источникам, тонн</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выбросов парниковых газов по всем источникам в эквиваленте тонны двуокиси углерода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эквиваленте тонны двуокиси углерода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эквиваленте тонны двуокиси углерода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эквиваленте тонны двуокиси углерода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Использованные методики расчетов ___________________________</w:t>
      </w:r>
    </w:p>
    <w:p>
      <w:pPr>
        <w:spacing w:after="0"/>
        <w:ind w:left="0"/>
        <w:jc w:val="both"/>
      </w:pPr>
      <w:r>
        <w:rPr>
          <w:rFonts w:ascii="Times New Roman"/>
          <w:b w:val="false"/>
          <w:i w:val="false"/>
          <w:color w:val="000000"/>
          <w:sz w:val="28"/>
        </w:rPr>
        <w:t>
      9. Коэффициенты, использованные для расчетов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
        <w:gridCol w:w="373"/>
        <w:gridCol w:w="373"/>
        <w:gridCol w:w="517"/>
        <w:gridCol w:w="518"/>
        <w:gridCol w:w="1188"/>
        <w:gridCol w:w="518"/>
        <w:gridCol w:w="1044"/>
        <w:gridCol w:w="1333"/>
        <w:gridCol w:w="1668"/>
        <w:gridCol w:w="2724"/>
        <w:gridCol w:w="1527"/>
      </w:tblGrid>
      <w:tr>
        <w:trPr>
          <w:trHeight w:val="30" w:hRule="atLeast"/>
        </w:trPr>
        <w:tc>
          <w:tcPr>
            <w:tcW w:w="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установки</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источника</w:t>
            </w:r>
          </w:p>
        </w:tc>
        <w:tc>
          <w:tcPr>
            <w:tcW w:w="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источника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Потребленное топливо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Произведенная продукция за отчетный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использованные для расчетов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(в натуральных единицах)</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натуральных единицах)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выбросов парниковых газов (в тоннах)</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теплотворного нетто-значения (терраДжоуль на тонну топлива)</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окисления (в случае сжигания топлива) либо коэффициент преобразования (в случае промышленных процессов)</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выбросов углерода, тонн на терраДжоуль или единицу продукции</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Сведения по единицам внутреннего сокращения (полученным, отчужденным)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6"/>
        <w:gridCol w:w="1528"/>
        <w:gridCol w:w="3857"/>
        <w:gridCol w:w="4189"/>
        <w:gridCol w:w="1530"/>
      </w:tblGrid>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углеродной единицы</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единицы внутреннего сокращения на период действия Национального плана распределения квот</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полученных единиц внутреннего сокращения на период действия Национального плана распределения квот</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Отчужденные за отчетный год</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внутренних сокращений выбросов</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Подпись руководителя организации (ФИО), печать ____________</w:t>
      </w:r>
    </w:p>
    <w:bookmarkStart w:name="z27" w:id="15"/>
    <w:p>
      <w:pPr>
        <w:spacing w:after="0"/>
        <w:ind w:left="0"/>
        <w:jc w:val="left"/>
      </w:pPr>
      <w:r>
        <w:rPr>
          <w:rFonts w:ascii="Times New Roman"/>
          <w:b/>
          <w:i w:val="false"/>
          <w:color w:val="000000"/>
        </w:rPr>
        <w:t xml:space="preserve"> Пояснение по заполнению "Формы отчета об инвентаризации</w:t>
      </w:r>
      <w:r>
        <w:br/>
      </w:r>
      <w:r>
        <w:rPr>
          <w:rFonts w:ascii="Times New Roman"/>
          <w:b/>
          <w:i w:val="false"/>
          <w:color w:val="000000"/>
        </w:rPr>
        <w:t>парниковых газов для субъектов администрирования"</w:t>
      </w:r>
    </w:p>
    <w:bookmarkEnd w:id="15"/>
    <w:p>
      <w:pPr>
        <w:spacing w:after="0"/>
        <w:ind w:left="0"/>
        <w:jc w:val="both"/>
      </w:pPr>
      <w:r>
        <w:rPr>
          <w:rFonts w:ascii="Times New Roman"/>
          <w:b w:val="false"/>
          <w:i w:val="false"/>
          <w:color w:val="000000"/>
          <w:sz w:val="28"/>
        </w:rPr>
        <w:t xml:space="preserve">
      1. Форма отчета об инвентаризации парниковых газов для субъектов администрирования (далее – Форма) разработана в соответствии с </w:t>
      </w:r>
      <w:r>
        <w:rPr>
          <w:rFonts w:ascii="Times New Roman"/>
          <w:b w:val="false"/>
          <w:i w:val="false"/>
          <w:color w:val="000000"/>
          <w:sz w:val="28"/>
        </w:rPr>
        <w:t>подпунктом 29)</w:t>
      </w:r>
      <w:r>
        <w:rPr>
          <w:rFonts w:ascii="Times New Roman"/>
          <w:b w:val="false"/>
          <w:i w:val="false"/>
          <w:color w:val="000000"/>
          <w:sz w:val="28"/>
        </w:rPr>
        <w:t xml:space="preserve"> статьи 17 Экологического кодекса Республики Казахстан от 9 января 2007 года.</w:t>
      </w:r>
    </w:p>
    <w:p>
      <w:pPr>
        <w:spacing w:after="0"/>
        <w:ind w:left="0"/>
        <w:jc w:val="both"/>
      </w:pPr>
      <w:r>
        <w:rPr>
          <w:rFonts w:ascii="Times New Roman"/>
          <w:b w:val="false"/>
          <w:i w:val="false"/>
          <w:color w:val="000000"/>
          <w:sz w:val="28"/>
        </w:rPr>
        <w:t xml:space="preserve">
      2. Форма представляется операторами установок, подпадающих под требования по квотированию выбросов парниковых газов в соответствии со </w:t>
      </w:r>
      <w:r>
        <w:rPr>
          <w:rFonts w:ascii="Times New Roman"/>
          <w:b w:val="false"/>
          <w:i w:val="false"/>
          <w:color w:val="000000"/>
          <w:sz w:val="28"/>
        </w:rPr>
        <w:t>статьей 94-6</w:t>
      </w:r>
      <w:r>
        <w:rPr>
          <w:rFonts w:ascii="Times New Roman"/>
          <w:b w:val="false"/>
          <w:i w:val="false"/>
          <w:color w:val="000000"/>
          <w:sz w:val="28"/>
        </w:rPr>
        <w:t xml:space="preserve"> Экологического кодекса Республики Казахстан, ежегодно до 1 апреля года, следующего за отчетным.</w:t>
      </w:r>
    </w:p>
    <w:p>
      <w:pPr>
        <w:spacing w:after="0"/>
        <w:ind w:left="0"/>
        <w:jc w:val="both"/>
      </w:pPr>
      <w:r>
        <w:rPr>
          <w:rFonts w:ascii="Times New Roman"/>
          <w:b w:val="false"/>
          <w:i w:val="false"/>
          <w:color w:val="000000"/>
          <w:sz w:val="28"/>
        </w:rPr>
        <w:t>
      3. Форма заполняется следующим образом:</w:t>
      </w:r>
    </w:p>
    <w:p>
      <w:pPr>
        <w:spacing w:after="0"/>
        <w:ind w:left="0"/>
        <w:jc w:val="both"/>
      </w:pPr>
      <w:r>
        <w:rPr>
          <w:rFonts w:ascii="Times New Roman"/>
          <w:b w:val="false"/>
          <w:i w:val="false"/>
          <w:color w:val="000000"/>
          <w:sz w:val="28"/>
        </w:rPr>
        <w:t>
      в разделе 1 указывается полное наименование и бизнес-идентификационный номер или индивидуальный идентификационный номер оператора установки;</w:t>
      </w:r>
    </w:p>
    <w:p>
      <w:pPr>
        <w:spacing w:after="0"/>
        <w:ind w:left="0"/>
        <w:jc w:val="both"/>
      </w:pPr>
      <w:r>
        <w:rPr>
          <w:rFonts w:ascii="Times New Roman"/>
          <w:b w:val="false"/>
          <w:i w:val="false"/>
          <w:color w:val="000000"/>
          <w:sz w:val="28"/>
        </w:rPr>
        <w:t>
      в разделе 2 указывается юридический адрес оператора установки (область, район/город, населенный пункт);</w:t>
      </w:r>
    </w:p>
    <w:p>
      <w:pPr>
        <w:spacing w:after="0"/>
        <w:ind w:left="0"/>
        <w:jc w:val="both"/>
      </w:pPr>
      <w:r>
        <w:rPr>
          <w:rFonts w:ascii="Times New Roman"/>
          <w:b w:val="false"/>
          <w:i w:val="false"/>
          <w:color w:val="000000"/>
          <w:sz w:val="28"/>
        </w:rPr>
        <w:t>
      в разделе 3 указывается вид деятельности по общему классификатору видов экономической деятельности;</w:t>
      </w:r>
    </w:p>
    <w:p>
      <w:pPr>
        <w:spacing w:after="0"/>
        <w:ind w:left="0"/>
        <w:jc w:val="both"/>
      </w:pPr>
      <w:r>
        <w:rPr>
          <w:rFonts w:ascii="Times New Roman"/>
          <w:b w:val="false"/>
          <w:i w:val="false"/>
          <w:color w:val="000000"/>
          <w:sz w:val="28"/>
        </w:rPr>
        <w:t>
      в разделе 4 указывается ответственное лицо по отчету об инвентаризации парниковых газов (Фамилия, имя и отчество – при наличии);</w:t>
      </w:r>
    </w:p>
    <w:p>
      <w:pPr>
        <w:spacing w:after="0"/>
        <w:ind w:left="0"/>
        <w:jc w:val="both"/>
      </w:pPr>
      <w:r>
        <w:rPr>
          <w:rFonts w:ascii="Times New Roman"/>
          <w:b w:val="false"/>
          <w:i w:val="false"/>
          <w:color w:val="000000"/>
          <w:sz w:val="28"/>
        </w:rPr>
        <w:t>
      в разделе 5 указываются контактные данные ответственного лица по отчету об инвентаризации парниковых газов;</w:t>
      </w:r>
    </w:p>
    <w:p>
      <w:pPr>
        <w:spacing w:after="0"/>
        <w:ind w:left="0"/>
        <w:jc w:val="both"/>
      </w:pPr>
      <w:r>
        <w:rPr>
          <w:rFonts w:ascii="Times New Roman"/>
          <w:b w:val="false"/>
          <w:i w:val="false"/>
          <w:color w:val="000000"/>
          <w:sz w:val="28"/>
        </w:rPr>
        <w:t>
      в разделе 6 указывается отчетный год, по итогам которого разработан отчет об инвентаризации выбросов парниковых газов.</w:t>
      </w:r>
    </w:p>
    <w:p>
      <w:pPr>
        <w:spacing w:after="0"/>
        <w:ind w:left="0"/>
        <w:jc w:val="both"/>
      </w:pPr>
      <w:r>
        <w:rPr>
          <w:rFonts w:ascii="Times New Roman"/>
          <w:b w:val="false"/>
          <w:i w:val="false"/>
          <w:color w:val="000000"/>
          <w:sz w:val="28"/>
        </w:rPr>
        <w:t>
      4. В разделе 7 указывается фактический объем выбросов парниковых газов за отчетный год по стационарным источникам или мобильным источникам, приравненным к стационарным:</w:t>
      </w:r>
    </w:p>
    <w:p>
      <w:pPr>
        <w:spacing w:after="0"/>
        <w:ind w:left="0"/>
        <w:jc w:val="both"/>
      </w:pPr>
      <w:r>
        <w:rPr>
          <w:rFonts w:ascii="Times New Roman"/>
          <w:b w:val="false"/>
          <w:i w:val="false"/>
          <w:color w:val="000000"/>
          <w:sz w:val="28"/>
        </w:rPr>
        <w:t>
      в графе Б "Наименование установки" указывается наименование установки;</w:t>
      </w:r>
    </w:p>
    <w:p>
      <w:pPr>
        <w:spacing w:after="0"/>
        <w:ind w:left="0"/>
        <w:jc w:val="both"/>
      </w:pPr>
      <w:r>
        <w:rPr>
          <w:rFonts w:ascii="Times New Roman"/>
          <w:b w:val="false"/>
          <w:i w:val="false"/>
          <w:color w:val="000000"/>
          <w:sz w:val="28"/>
        </w:rPr>
        <w:t>
      в графе В "Наименование источника" указывается полное наименование источника, который является причиной выброса парниковых газов;</w:t>
      </w:r>
    </w:p>
    <w:p>
      <w:pPr>
        <w:spacing w:after="0"/>
        <w:ind w:left="0"/>
        <w:jc w:val="both"/>
      </w:pPr>
      <w:r>
        <w:rPr>
          <w:rFonts w:ascii="Times New Roman"/>
          <w:b w:val="false"/>
          <w:i w:val="false"/>
          <w:color w:val="000000"/>
          <w:sz w:val="28"/>
        </w:rPr>
        <w:t>
      в графе 7.1 "№ источника" указывается номер источника в пределах от 0001 до 5999 согласно схеме их расположения, которая составляется и хранится у оператора установки. При появлении нового источника ему присваивается номер, ранее не использовавшийся. При ликвидации источника его номер в дальнейшем не используется;</w:t>
      </w:r>
    </w:p>
    <w:p>
      <w:pPr>
        <w:spacing w:after="0"/>
        <w:ind w:left="0"/>
        <w:jc w:val="both"/>
      </w:pPr>
      <w:r>
        <w:rPr>
          <w:rFonts w:ascii="Times New Roman"/>
          <w:b w:val="false"/>
          <w:i w:val="false"/>
          <w:color w:val="000000"/>
          <w:sz w:val="28"/>
        </w:rPr>
        <w:t>
      в графе 7.2 "Объем выбросов двуокиси углерода, тонн" указывается объем выбросов двуокиси углерода в тоннах;</w:t>
      </w:r>
    </w:p>
    <w:p>
      <w:pPr>
        <w:spacing w:after="0"/>
        <w:ind w:left="0"/>
        <w:jc w:val="both"/>
      </w:pPr>
      <w:r>
        <w:rPr>
          <w:rFonts w:ascii="Times New Roman"/>
          <w:b w:val="false"/>
          <w:i w:val="false"/>
          <w:color w:val="000000"/>
          <w:sz w:val="28"/>
        </w:rPr>
        <w:t>
      графа "Объем выбросов метана" разделяется на графы 3 и 4. В графе 3 указывается объем выбросов метана в тоннах, в графе 4 указывается объем выбросов метана в эквиваленте тонны двуокиси углерода;</w:t>
      </w:r>
    </w:p>
    <w:p>
      <w:pPr>
        <w:spacing w:after="0"/>
        <w:ind w:left="0"/>
        <w:jc w:val="both"/>
      </w:pPr>
      <w:r>
        <w:rPr>
          <w:rFonts w:ascii="Times New Roman"/>
          <w:b w:val="false"/>
          <w:i w:val="false"/>
          <w:color w:val="000000"/>
          <w:sz w:val="28"/>
        </w:rPr>
        <w:t>
      графа "Объем выбросов закиси азота" разделяется на графы 5 и 6. В графе 5 указывается объем выбросов закиси азота в тоннах, в графе 6 указывается объем выбросов закиси азота в эквиваленте тонны двуокиси углерода;</w:t>
      </w:r>
    </w:p>
    <w:p>
      <w:pPr>
        <w:spacing w:after="0"/>
        <w:ind w:left="0"/>
        <w:jc w:val="both"/>
      </w:pPr>
      <w:r>
        <w:rPr>
          <w:rFonts w:ascii="Times New Roman"/>
          <w:b w:val="false"/>
          <w:i w:val="false"/>
          <w:color w:val="000000"/>
          <w:sz w:val="28"/>
        </w:rPr>
        <w:t>
      графа "Объем выбросов перфторуглеродов" разделяется на графы 7 и 8. В графе 7 указывается объем выбросов перфторуглеродов в тоннах, в графе 8 указывается объем выбросов перфторуглеродов в эквиваленте тонны двуокиси углерода;</w:t>
      </w:r>
    </w:p>
    <w:p>
      <w:pPr>
        <w:spacing w:after="0"/>
        <w:ind w:left="0"/>
        <w:jc w:val="both"/>
      </w:pPr>
      <w:r>
        <w:rPr>
          <w:rFonts w:ascii="Times New Roman"/>
          <w:b w:val="false"/>
          <w:i w:val="false"/>
          <w:color w:val="000000"/>
          <w:sz w:val="28"/>
        </w:rPr>
        <w:t>
      в графе 7.9 "Объем выбросов парниковых газов эквиваленте тонны двуокиси углерода, всего" указывается общий объем выбросов по всем парниковым газам по каждому источнику. Объем выбросов парниковых газов указывается в эквиваленте тонны двуокиси углерода;</w:t>
      </w:r>
    </w:p>
    <w:p>
      <w:pPr>
        <w:spacing w:after="0"/>
        <w:ind w:left="0"/>
        <w:jc w:val="both"/>
      </w:pPr>
      <w:r>
        <w:rPr>
          <w:rFonts w:ascii="Times New Roman"/>
          <w:b w:val="false"/>
          <w:i w:val="false"/>
          <w:color w:val="000000"/>
          <w:sz w:val="28"/>
        </w:rPr>
        <w:t>
      в графе 7.10 "Общий объем выбросов двуокиси углерода по всем источникам, тонн" указывается общий объем выбросов двуокиси углерода по всем источникам в тоннах;</w:t>
      </w:r>
    </w:p>
    <w:p>
      <w:pPr>
        <w:spacing w:after="0"/>
        <w:ind w:left="0"/>
        <w:jc w:val="both"/>
      </w:pPr>
      <w:r>
        <w:rPr>
          <w:rFonts w:ascii="Times New Roman"/>
          <w:b w:val="false"/>
          <w:i w:val="false"/>
          <w:color w:val="000000"/>
          <w:sz w:val="28"/>
        </w:rPr>
        <w:t>
      в графе 7.11 "Общий объем выбросов парниковых газов по всем источникам в эквиваленте тонны двуокиси углерода" указывается общий объем выбросов парниковых газов по всем источникам в эквиваленте тонны двуокиси углерода.</w:t>
      </w:r>
    </w:p>
    <w:p>
      <w:pPr>
        <w:spacing w:after="0"/>
        <w:ind w:left="0"/>
        <w:jc w:val="both"/>
      </w:pPr>
      <w:r>
        <w:rPr>
          <w:rFonts w:ascii="Times New Roman"/>
          <w:b w:val="false"/>
          <w:i w:val="false"/>
          <w:color w:val="000000"/>
          <w:sz w:val="28"/>
        </w:rPr>
        <w:t>
      5. В разделе 8 указывается полное наименование каждой использованной методики по расчету объемов выбросов парниковых газов с указанием использования уровня расчетов.</w:t>
      </w:r>
    </w:p>
    <w:p>
      <w:pPr>
        <w:spacing w:after="0"/>
        <w:ind w:left="0"/>
        <w:jc w:val="both"/>
      </w:pPr>
      <w:r>
        <w:rPr>
          <w:rFonts w:ascii="Times New Roman"/>
          <w:b w:val="false"/>
          <w:i w:val="false"/>
          <w:color w:val="000000"/>
          <w:sz w:val="28"/>
        </w:rPr>
        <w:t>
      6. В разделе 9 указываются коэффициенты, использованные для расчетов:</w:t>
      </w:r>
    </w:p>
    <w:p>
      <w:pPr>
        <w:spacing w:after="0"/>
        <w:ind w:left="0"/>
        <w:jc w:val="both"/>
      </w:pPr>
      <w:r>
        <w:rPr>
          <w:rFonts w:ascii="Times New Roman"/>
          <w:b w:val="false"/>
          <w:i w:val="false"/>
          <w:color w:val="000000"/>
          <w:sz w:val="28"/>
        </w:rPr>
        <w:t>
      в графе Б "Наименование установки" указывается наименование установки;</w:t>
      </w:r>
    </w:p>
    <w:p>
      <w:pPr>
        <w:spacing w:after="0"/>
        <w:ind w:left="0"/>
        <w:jc w:val="both"/>
      </w:pPr>
      <w:r>
        <w:rPr>
          <w:rFonts w:ascii="Times New Roman"/>
          <w:b w:val="false"/>
          <w:i w:val="false"/>
          <w:color w:val="000000"/>
          <w:sz w:val="28"/>
        </w:rPr>
        <w:t>
      в графе В "Наименование источника" указывается полное наименование источника, который является причиной выброса парниковых газов;</w:t>
      </w:r>
    </w:p>
    <w:p>
      <w:pPr>
        <w:spacing w:after="0"/>
        <w:ind w:left="0"/>
        <w:jc w:val="both"/>
      </w:pPr>
      <w:r>
        <w:rPr>
          <w:rFonts w:ascii="Times New Roman"/>
          <w:b w:val="false"/>
          <w:i w:val="false"/>
          <w:color w:val="000000"/>
          <w:sz w:val="28"/>
        </w:rPr>
        <w:t>
      в графе 9.1 "№ источника" указывается номер источника в пределах от 0001 до 5999 согласно схеме их расположения, которая составляется и хранится у оператора установки. При появлении нового источника ему присваивается номер, ранее не использовавшийся. При ликвидации источника его номер в дальнейшем не используется;</w:t>
      </w:r>
    </w:p>
    <w:p>
      <w:pPr>
        <w:spacing w:after="0"/>
        <w:ind w:left="0"/>
        <w:jc w:val="both"/>
      </w:pPr>
      <w:r>
        <w:rPr>
          <w:rFonts w:ascii="Times New Roman"/>
          <w:b w:val="false"/>
          <w:i w:val="false"/>
          <w:color w:val="000000"/>
          <w:sz w:val="28"/>
        </w:rPr>
        <w:t>
      графа "Потребленное топливо" делится на графы 2 и 3. В графе 2 указывается вид потребленного топлива (уголь, газ, нефть, биотопливо, биомасса), в графе 3 указывается фактический объем потребленного топлива (в натуральных единицах);</w:t>
      </w:r>
    </w:p>
    <w:p>
      <w:pPr>
        <w:spacing w:after="0"/>
        <w:ind w:left="0"/>
        <w:jc w:val="both"/>
      </w:pPr>
      <w:r>
        <w:rPr>
          <w:rFonts w:ascii="Times New Roman"/>
          <w:b w:val="false"/>
          <w:i w:val="false"/>
          <w:color w:val="000000"/>
          <w:sz w:val="28"/>
        </w:rPr>
        <w:t>
      графа "Произведенная продукция за отчетный год" делится на графы 4, 5 и 6. В графе 4 указывается вид произведенной продукции, в графе 5 указывается количество произведенной продукции в натуральных единицах, в графе 6 указывается объем выбросов парниковых газов от производства каждого вида продукции в тоннах;</w:t>
      </w:r>
    </w:p>
    <w:p>
      <w:pPr>
        <w:spacing w:after="0"/>
        <w:ind w:left="0"/>
        <w:jc w:val="both"/>
      </w:pPr>
      <w:r>
        <w:rPr>
          <w:rFonts w:ascii="Times New Roman"/>
          <w:b w:val="false"/>
          <w:i w:val="false"/>
          <w:color w:val="000000"/>
          <w:sz w:val="28"/>
        </w:rPr>
        <w:t>
      графа "Коэффициенты, использованные для расчетов" подразделяется на графы 7, 8, 9. В графе 7 указывается коэффициент теплотворного нетто-значения, в единицах - терраДжоуль на тонну топлива; в графе 8 в случае сжигания топлива указывается коэффициент окисления либо коэффициент преобразования в случае промышленных процессов, в графе 9 указывается коэффициент выбросов углерода, в единицах - тонн на терраДжоуль или единица продукции.</w:t>
      </w:r>
    </w:p>
    <w:p>
      <w:pPr>
        <w:spacing w:after="0"/>
        <w:ind w:left="0"/>
        <w:jc w:val="both"/>
      </w:pPr>
      <w:r>
        <w:rPr>
          <w:rFonts w:ascii="Times New Roman"/>
          <w:b w:val="false"/>
          <w:i w:val="false"/>
          <w:color w:val="000000"/>
          <w:sz w:val="28"/>
        </w:rPr>
        <w:t>
      7. В разделе 10 указываются сведения единицам внутреннего сокращения (полученным, отчужденным):</w:t>
      </w:r>
    </w:p>
    <w:p>
      <w:pPr>
        <w:spacing w:after="0"/>
        <w:ind w:left="0"/>
        <w:jc w:val="both"/>
      </w:pPr>
      <w:r>
        <w:rPr>
          <w:rFonts w:ascii="Times New Roman"/>
          <w:b w:val="false"/>
          <w:i w:val="false"/>
          <w:color w:val="000000"/>
          <w:sz w:val="28"/>
        </w:rPr>
        <w:t>
      в графе 10.1 "Полученные единицы внутреннего сокращения на период действия Национального плана распределения квот" указывается объем единиц внутреннего сокращения, полученный на период действия Национального плана распределения квот;</w:t>
      </w:r>
    </w:p>
    <w:p>
      <w:pPr>
        <w:spacing w:after="0"/>
        <w:ind w:left="0"/>
        <w:jc w:val="both"/>
      </w:pPr>
      <w:r>
        <w:rPr>
          <w:rFonts w:ascii="Times New Roman"/>
          <w:b w:val="false"/>
          <w:i w:val="false"/>
          <w:color w:val="000000"/>
          <w:sz w:val="28"/>
        </w:rPr>
        <w:t>
      в графе 10.2 "Остаток полученных единиц внутреннего сокращения на период действия Национального плана распределения квот" указывается остаток полученных единиц внутреннего сокращения на период действия Национального плана распределения квот;</w:t>
      </w:r>
    </w:p>
    <w:p>
      <w:pPr>
        <w:spacing w:after="0"/>
        <w:ind w:left="0"/>
        <w:jc w:val="both"/>
      </w:pPr>
      <w:r>
        <w:rPr>
          <w:rFonts w:ascii="Times New Roman"/>
          <w:b w:val="false"/>
          <w:i w:val="false"/>
          <w:color w:val="000000"/>
          <w:sz w:val="28"/>
        </w:rPr>
        <w:t>
      в графе 10.3 "Отчужденные за отчетный год" указывается объем единиц внутреннего сокращения, отчужденный на отчетный год.</w:t>
      </w:r>
    </w:p>
    <w:p>
      <w:pPr>
        <w:spacing w:after="0"/>
        <w:ind w:left="0"/>
        <w:jc w:val="both"/>
      </w:pPr>
      <w:r>
        <w:rPr>
          <w:rFonts w:ascii="Times New Roman"/>
          <w:b w:val="false"/>
          <w:i w:val="false"/>
          <w:color w:val="000000"/>
          <w:sz w:val="28"/>
        </w:rPr>
        <w:t>
      8. В разделе 11 указывается подпись руководителя оператора установки, фамилия, имя, отчество при наличии, ставится печать.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