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66fd" w14:textId="d886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мая 2016 года № 243. Зарегистрирован в Министерстве юстиции Республики Казахстан 20 июня 2016 года № 13806. Утратил силу приказом Министра финансов Республики Казахстан от 29 апреля 2025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в информационно-правовой системе "Әділет" 17 октября 2014 года):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Единую бюджетную классификацию Республики Казахстан, утвержденную указанным приказом: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экономической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"Затраты на товары и услуги":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110 "Заработная плата":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116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Обязательные пенсионные взносы работодателей";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специфик экономической классификации расходов бюджета Республики Казахстан, утвержденную указанным приказом: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110 "Заработная плата":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116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Обязательные пенсионные взносы работодателей";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определением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данной специфике отражаются обязательные пенсионные взносы работодателей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130 "Выплата заработной платы отдельным категориям граждан и отчисления взносов в соответствии с законодательными актами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специфике 135 "Взносы работодателей по техническому персоналу":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определение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"Отчисления, производимые государственными учреждениями в бюджет по социальному налогу, социальные отчисления в Государственный фонд социального страхования, отчисления на обязательное социальное медицинское страхование в фонд социального медицинского страхования, выплата пособий по временной нетрудоспособности. По данной специфике также отражаются обязательные профессиональные пенсионные взносы и обязательные пенсионные взносы работодателей.";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(зарегистрированный в Реестре государственной регистрации нормативных правовых актов за № 10007, опубликованный в информационно-правовой системе "Әділет" 8 января 2015 года):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Форма 01-116 (приложение 20-1) предназначена для расчета расходов на обязательные пенсионные взносы работодателей.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расчета по данной форме следует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20-1 применяется также для расчета расходов на обязательные пенсионные взносы работодателей по специфике 135 "Взносы работодателей по техническому персоналу".";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20-1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2016 года №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бюджетной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01-116</w:t>
            </w:r>
          </w:p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расходов на обязательные</w:t>
      </w:r>
      <w:r>
        <w:br/>
      </w:r>
      <w:r>
        <w:rPr>
          <w:rFonts w:ascii="Times New Roman"/>
          <w:b/>
          <w:i w:val="false"/>
          <w:color w:val="000000"/>
        </w:rPr>
        <w:t>пенсионные взносы работодателей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                             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данных (прогноз, план, отчет)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           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           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      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                       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                         |______________|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доход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обязательного пенсионного взноса работодателя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взноса в месяц (гр.2х гр.3)/100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взноса в год гр.4 х12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органа/руководитель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(фамилия 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бюджетной программы 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(фамилия 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(нач. ФЭО) 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(фамилия и.о.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