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8cd" w14:textId="186c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2016 года № 404. Зарегистрирован в Министерстве юстиции Республики Казахстан 7 июня 2016 года № 13774. Утратил силу приказом Министра по инвестициям и развитию Республики Казахстан от 14 апреля 2017 года № 199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14.04.2017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органов.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мая 2015 года № 595 "Об утверждении Методики ежегодной оценки деятельности административных государственных служащих корпуса "Б"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11543, опубликованный 15 июля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сентября 2015 года № 948 "О внесении изменений в приказ Министра по инвестициям и развитию Республики Казахстан от 25 мая 2015 года № 595 "Об утверждении Методики ежегодной оценки деятельности административных государственных служащих корпуса "Б"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12220, опубликованный 9 ноября 2015 года в информационно-правовой системе "Әділет").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кадровой работы Министерства по инвестициям и развитию Республики Казахстан (Игалиев М.Н.)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404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Министерства по инвестициям и развитию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его ведомств и их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инвестициям и развитию Республики Казахстан, его ведомств и их территориальных органов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проводится по результатам деятельности служащего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Министерства по инвестициям и развитию Республики Казахстан, его ведомств и их территориальных органов (далее – Министерства),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дату подписания индивидуального плана.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исполнения должностных обязанностей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Поощряемые показатели и виды деятельности определяются Министерством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Министерства документы и мероприятия.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Министерства,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исполнительской дисциплины служат документально подтвержденные сведения, поступившие от службы, ответственной за документооборот Министерства не позднее пятого числа месяца следующего за отчетным кварталом в службу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и исполнительской дисциплин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выполнения индивидуального плана работы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Круговая оценка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оценка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70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 свыше 130 баллов – "превосходно".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Рассмотрение результатов оценки Комиссией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Обжалование результатов оценки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Обжалование решения Комиссии служащим корпуса "Б"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Информация о принятом решении представляется Министерством в течение двух недель в уполномоченный орган по делам государственной службы или его территориальный департамент.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Служащий корпуса "Б" вправе обжаловать результаты оценки в суде.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Принятие решений по результатам оценки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являются основанием для принятия решений по выплате бонусов и обучению.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Бонусы выплачиваются служащим корпуса "Б" с результатами оценки "превосходно" и "эффективно".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корпуса "Б" направляется на </w:t>
      </w:r>
      <w:r>
        <w:rPr>
          <w:rFonts w:ascii="Times New Roman"/>
          <w:b w:val="false"/>
          <w:i w:val="false"/>
          <w:color w:val="000000"/>
          <w:sz w:val="28"/>
        </w:rPr>
        <w:t>курсы повышения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месяцев после утверждения Комиссией результатов годовой оценки его деятельности.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органов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служащего: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5929"/>
        <w:gridCol w:w="2637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Министерства,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органов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"/>
        <w:gridCol w:w="1714"/>
        <w:gridCol w:w="1483"/>
        <w:gridCol w:w="1483"/>
        <w:gridCol w:w="858"/>
        <w:gridCol w:w="1233"/>
        <w:gridCol w:w="2136"/>
        <w:gridCol w:w="2136"/>
        <w:gridCol w:w="472"/>
      </w:tblGrid>
      <w:tr>
        <w:trPr>
          <w:trHeight w:val="30" w:hRule="atLeast"/>
        </w:trPr>
        <w:tc>
          <w:tcPr>
            <w:tcW w:w="7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органов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7"/>
        <w:gridCol w:w="2609"/>
        <w:gridCol w:w="4068"/>
        <w:gridCol w:w="1648"/>
        <w:gridCol w:w="1648"/>
        <w:gridCol w:w="680"/>
      </w:tblGrid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4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2"/>
        <w:gridCol w:w="5418"/>
      </w:tblGrid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 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органов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1"/>
        <w:gridCol w:w="2432"/>
        <w:gridCol w:w="4641"/>
        <w:gridCol w:w="2796"/>
      </w:tblGrid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органов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4"/>
        <w:gridCol w:w="4451"/>
        <w:gridCol w:w="1625"/>
        <w:gridCol w:w="3713"/>
        <w:gridCol w:w="887"/>
      </w:tblGrid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