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0089" w14:textId="2ee0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2016 года № 209. Зарегистрирован в Министерстве юстиции Республики Казахстан 1 июня 2016 года № 13756. Утратил силу приказом Министра финансов Республики Казахстан от 2 декабря 2016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Республики Казахстан от 02.12.2016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31 июля 2014 года № 324 «Об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бюджета» (зарегистрирован в Реестре государственной регистрации нормативных правовых актов за № 9699, опубликован в информационно-правовой системе «Әділет» 25 сентября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 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месячный отчет об исполнении бюджета области, города республиканского значения, столицы - не позднее 12 числа месяца, следующего за отчетным посредством ИС в полном объеме, в которых раздел отчета об исполнении местного бюджета, включающий поступления в бюджет должен содержать категории, классы, подклассы и специфики классификации поступлений бюджета, а разделы отчета, включающие расходы бюджета, должны содержать функциональные группы, функциональные подгруппы, администраторов бюджетных программ, программы, подпрограммы и специфики классификации расходов бюджета с последующим до конца месяца, следующего за отчетным, его подтверждением через ЕСЭДО, сформированным в соответствии с пунктами 45 и 46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годовой отчет об исполнении бюджета области, города республиканского значения, столицы - не позднее 1 февраля года, следующего за отчетным годом посредством ИС в полном объеме, в которых раздел отчета об исполнении местного бюджета, включающий поступления в бюджет должен содержать категории, классы, подклассы и специфики классификации поступлений бюджета, а разделы отчета, включающие расходы бюджета должны содержать функциональные группы, функциональные подгруппы, администраторов бюджетных программ, программы, подпрограммы и специфики классификации расходов бюджета, а на бумажном носителе, в соответствии с пунктами 45 и 46 настоящих Правил, до 10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2016 года № 209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учреждениями,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исполнению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приоритетных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инвестиций, направленных на реализацию особо важных и требующих</w:t>
      </w:r>
      <w:r>
        <w:br/>
      </w:r>
      <w:r>
        <w:rPr>
          <w:rFonts w:ascii="Times New Roman"/>
          <w:b/>
          <w:i w:val="false"/>
          <w:color w:val="000000"/>
        </w:rPr>
        <w:t>
оперативной реализации задач, включенных в проект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с отлагательными условиями</w:t>
      </w:r>
      <w:r>
        <w:br/>
      </w:r>
      <w:r>
        <w:rPr>
          <w:rFonts w:ascii="Times New Roman"/>
          <w:b/>
          <w:i w:val="false"/>
          <w:color w:val="000000"/>
        </w:rPr>
        <w:t>
на 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бюджета: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543"/>
        <w:gridCol w:w="1238"/>
        <w:gridCol w:w="999"/>
        <w:gridCol w:w="999"/>
        <w:gridCol w:w="2988"/>
        <w:gridCol w:w="982"/>
        <w:gridCol w:w="983"/>
        <w:gridCol w:w="1219"/>
        <w:gridCol w:w="1441"/>
        <w:gridCol w:w="14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отчетный финансовый год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отчетный финансовый год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Скорректированный бюджет на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финансирования на отчетный период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инвестпроекта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Республиканские инвестиционные проекты -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 юридических лиц -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Целевые трансферты на развитие -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Кредиты -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Целевые трансферты из Национального фонда -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242"/>
        <w:gridCol w:w="2447"/>
        <w:gridCol w:w="2447"/>
        <w:gridCol w:w="2879"/>
        <w:gridCol w:w="244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обязательства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Неоплаченные обязательства гр.12-гр.14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оплаченных обязательств по бюджетным программам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к отчетному периоду гр.14-гр.11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оплаченных обязательств по бюджетным программам к отчетному периоду гр.14/гр.11*100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оплаченных обязательств к плану на год гр14/гр.9*100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2016 года № 209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учреждениями,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исполнению бюджета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приоритетных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на 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бюджета: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06"/>
        <w:gridCol w:w="1155"/>
        <w:gridCol w:w="931"/>
        <w:gridCol w:w="1580"/>
        <w:gridCol w:w="3449"/>
        <w:gridCol w:w="1344"/>
        <w:gridCol w:w="1145"/>
        <w:gridCol w:w="1145"/>
        <w:gridCol w:w="929"/>
        <w:gridCol w:w="885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отчетный финансовый год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отчетный финансовый год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Скорректированный бюджет на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финансирования на отчетный период</w:t>
            </w:r>
          </w:p>
        </w:tc>
      </w:tr>
      <w:tr>
        <w:trPr>
          <w:trHeight w:val="11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инвестпроекта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Республиканские инвестиционные проекты - 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 - 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Целевые трансферты на развитие - 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Кредиты - 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Целевые трансферты из Национального фонда - всего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503"/>
        <w:gridCol w:w="2503"/>
        <w:gridCol w:w="2099"/>
        <w:gridCol w:w="2696"/>
        <w:gridCol w:w="2292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обязательства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Неоплаченные обязательства гр.12-гр.14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оплаченных обязательств по бюджетным программам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к отчетному периоду гр.14-гр.11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оплаченных обязательств по бюджетным программам к отчетному периоду гр.14/гр.11*100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оплаченных обязательств к плану на год гр.14/гр.9*100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