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b908" w14:textId="a43b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факторов, влияющих на ухудшение финансового положения банка и банковского конгломерата, а также утверждении Правил применения мер раннего реагирования и методики определения факторов, влияющих на ухудшение финансового положения банка и банковского конгломерата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февраля 2016 года № 69. Зарегистрировано в Министерстве юстиции Республики Казахстан 16 апреля 2016 года № 13606. Утратило силу постановлением Правления Национального Банка Республики Казахстан от 28 декабря 2018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факторы, влияющие на ухудшение финансового положения банка: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коэффициентов ликвидности;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займов с просроченной задолженностью по основному долгу и (или) начисленному вознаграждению свыше 90 (девяноста) календарных дней без учета сформированных резервов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соотношения чистых классифицированных займов к собственному капиталу;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займов с просроченной задолженностью по основному долгу и (или) начисленному вознаграждению от 61 (шестидесяти одного) до 90 (девяноста) календарных дней без учета сформированных резервов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превышение отношения займов с просроченной задолженностью по основному долгу и (или) начисленному вознаграждению свыше 90 (девяноста) календарных дней без учета сформированных резервов по ним к общему объему ссудного портфеля банка без учета сформированных резервов по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коэффициента рентабельности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снижение среднего значения отношения свободных активов в национальной валюте к обязательствам до востребования в национальной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снижение значений коэффициентов достаточности собственного капитала (k1, k1-2, k2) ниже суммы минимальных значений коэффициентов достаточности собственного капитала (k1, k1-2, k2) с учетом буферов собственного капитала, установленных уполномоченным органом по регулированию, контролю и надзору финансового рынка и финансовых организаций, и процентной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сформированными резервами понимаются резервы, сформированные в соответствии с требованиями международных стандартов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займов включается сумма основного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чистыми классифицированными займами понимается балансовая стоимость займов (основной долг с учетом дисконтов (премий), положительных (отрицательных) корректировок, начисленного вознаграждения и созданных по ним резервов), по которым согласно данным бухгалтерского учета сформированы резервы на уровне более 10 (десяти)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11.09.2017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25.09.2017).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факторы, влияющие на ухудшение финансового положения банковского конгломерата: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коэффициентов достаточности собственного капитала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коэффициентов максимального размера риска на одного заемщика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мер раннего реагирования в отношении финансовых организаций, являющихся участниками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суммы требований участников банковского конгломерата друг к другу по внутригрупповым сделкам между участниками банковского конгломерата (за исключением инвестиций участников банковского конгломерата в капитал других участников, сделок с дочерней организацией, приобретающей сомнительные и безнадежные активы родительского банка, сделок, закрытых на отчетную дату).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методику определения факторов, влияющих на ухудшение финансового положения банка,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применения мер раннего реагирования и методику определения факторов, влияющих на ухудшение финансового положения банковского конгломерата,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мер раннего реагирования и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факторов, влияющих на ухудшение финансового</w:t>
      </w:r>
      <w:r>
        <w:br/>
      </w:r>
      <w:r>
        <w:rPr>
          <w:rFonts w:ascii="Times New Roman"/>
          <w:b/>
          <w:i w:val="false"/>
          <w:color w:val="000000"/>
        </w:rPr>
        <w:t>положения банка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11.09.2017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25.09.2017).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мер раннего реагирования и методика определения факторов, влияющих на ухудшение финансового положения банка второго уровня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устанавливают порядок применения мер раннего реагирования и методику определения факторов, влияющих на ухудшение финансового положения банка второго уровня (далее - банк).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контролю и надзору финансового рынка и финансовых организаций (далее - уполномоченный орган) применяет к банку меры раннего реагирования при выявлении факторов, влияющих на ухудшение финансового положения банка, предусмотренных в части первой пункта 1 настоящего постановления.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Правил не распространяются на банки, находящиеся в процессе реструктуризации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ежемесячно на базе данных регуляторной отчетности осуществляет анализ деятельности банка для выявления факторов, влияющих на ухудшение финансового положения банка, предусмотренных частью первой пункта 1 настоящего постановления.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в случае выявления факторов, влияющих на ухудшение финансового положения банка, предусмотренных частью первой пункта 1 настоящего постановления, в результате анализа финансового положения банка и (или) по итогам его проверки уполномоченный орган направляет в банк и (или) его акционерам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банка, недопущению ухудшения его финансового положения и увеличения рисков, связанных с банковской деятельностью (далее - план мероприятий).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(или) его акционеры в срок не более 5 (пяти) рабочих дней со дня получения требования уполномоченного органа разрабатывают и представляют в уполномоченный орган план мероприятий, который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детальный анализ фактора, влияющего на ухудшение финансового положения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данного фактора, обоснование данного прогноза и негативные влияния на деятельность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данного фактора, то есть доведения до уровня, не представляющего угрозу (дополнительные риски) для деятельности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плана мероприятий (с указанием сроков исполнения по каждому пункту плана мероприятий);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ответственных должностных лиц за исполнение плана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фактора направлены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фактору, предусмотренному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коэффициентов ликвидности до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коэффициента текущей ликвидности k4 - не менее 0,4;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коэффициента срочной ликвидности k4-1 - не менее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коэффициента срочной ликвидности k4-2 - не менее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коэффициента срочной ликвидности k4-3 - не менее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коэффициента срочной валютной ликвидности k4-4 - не менее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коэффициента срочной валютной ликвидности k4-5 - не менее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коэффициента срочной валютной ликвидности k4-6 - не менее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фактору, предусмотренному в подпункте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доли чистых классифицированных займов в собственном капитале до уровня, не превышающего 80 (восьмидесяти)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фактору, предусмотренному в подпункте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доли классифицированной дебиторской задолженности в совокупной дебиторской задолженности до уровня, не превышающего 50 (пятидесяти)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фактору, предусмотренному в подпункте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коэффициента рентабельности активов до уровня не менее 0,2 (ноль целых двух десятых)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фактору, предусмотренному в подпункте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коэффициента покрытия в национальной валюте до уровня не менее 0,4;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фактору, предусмотренному в подпункте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значений коэффициентов достаточности собственного капитала (k1, k1-2, k2) до суммы минимальных значений коэффициентов достаточности собственного капитала (k1, k1-2, k2) с учетом буферов собственного капитала, установленных уполномоченным органом, и процентной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план мероприятий, представленный банком и (или) его акционерами.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уполномоченного органа с планом мероприятий, представленным банком и (или) его акционерами на рассмотрение, уполномоченный орган и банк проводят совместные обсуждения с целью доработки плана мероприятий. При этом банк корректирует план мероприятий для устранения замечаний уполномоченного органа в сроки, указанные в письме уполномоченного органа, или в случае несогласия с такими замечаниями предоставляет свои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письменной форме одобряет или не одобряет план мероприятий, представленный банком и (или) его акционерами.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уполномоченным органом представленного плана мероприятий банк и (или) его акционеры приступают к его реализации и представляют в уполномоченный орган отчет о выполнении мероприятий в сроки, указанные в письме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неодобрения плана мероприятий уполномоченный орган применяет к банку и (или) его акционерам одну или несколько мер раннего реагирования посредством предъявления требований,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о банках.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самостоятельного выявления факторов, влияющих на ухудшение финансового положения банка, предусмотренных частью первой пункта 1 настоящего постановления, банк в течение 5 (пяти) рабочих дней со дня выявления факторов, влияющих на ухудшение финансового положения банка, представляет в уполномоченный орган информацию, отражающую состояние ухудшения его финансового положения, с приложением плана мероприятий, предусмотренного настоящим пунктом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Национального Банка РК от 11.09.2017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25.09.2017).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Банк, включенный в список финансовых организаций, отнесенных к числу системообразующих, банк, включенный в список потенциальных банков, которые могут быть признаны системообразующими,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257 "Об утверждении Правил отнесения финансовых организаций к числу системообразующих", зарегистрированным в Реестре государственной регистрации нормативных правовых актов под № 10210 (далее - постановление № 257), банк, у которого наблюдалось нарушение показателя достаточности капитала по результатам стресс-тестирования, проведенного уполномоченным органом, а также банк, осуществляющий (осуществивший) реструктуризацию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банках, представляют в уполномоченный орган: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мероприятий по увеличению собственного капитала банка в случае нахождения коэффициентов достаточности собственного капитала банка ниже минимальных значений коэффициентов достаточности собственного капитала с учетом буферов, установленных Нормативными значениями и методиками расчетов пруденциальных нормативов и иных обязательных к соблюдению норм и лимитов размера капитала банка на определенную дату,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- Нормативы № 170);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в срок до 1 (первого) марта отчетного года прогноз ежемесячных показателей факторов, влияющих на ухудшение финансового положения банка: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коэффициентов достаточности собственного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показателей факторов, указанных в подпунктах 1), 2) и 7) части первой пункта 1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показателей факторов, указанных в подпунктах 1), 2) и 7) части первой пункта 1 настоящего постановления, составляется до окончания финансового года и пересматривается не более 1 (одного) раза в год с представлением обоснования.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Уполномоченный орган осуществляет проверку соответствия прогнозных значений показателей факторов текущим значениям. В случае выявления в прогнозе изменения показателей факторов, влияющих на ухудшение финансового положения банка на 10 (десять) процентов, уполномоченный орган осуществляет мероприятия, предусмотренные пунктом 4 Правил.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показателей факторов, указанных в подпунктах 1), 2) и 7) части первой пункта 1 настоящего постановления, а также коэффициентов достаточности собственного капитала дополняется оценкой эффекта влияния стрессового сценария.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Сценарий и рекомендации по параметрам стрессового сценария предоставляются уполномоченным органом банку, включенному в список финансовых организаций, отнесенных к числу системообразующих, банку, включенному в список потенциальных банков, которые могут быть признаны системообразующими,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банку, у которого наблюдалось нарушение показателя достаточности капитала по результатам стресс-тестирования, проведенного уполномоченным органом, за месяц до срока предоставления прогнозных показателей факторов в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Банк, прошедший процедуру реорганизации и (или) совершивший операцию по одновременной передаче активов и обязательств между родительским и дочерним банками, осуществляет расчет факторов (за исключением фактора, предусмотренного подпунктом 5) части первой пункта 1 настоящего постановления), влияющих на ухудшение финансового положения банка, при наличии информации за последние 12 (двенадцать) месяцев.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выявления фактора, предусмотренного подпунктом 5) части первой пункта 1 настоящего постановления, банк представляет в уполномоченный орган в соответствии с требованиями и сроками, установленными пунктом 4 Правил, план мероприятий, предусматривающий снижение отношения займов с просроченной задолженностью по основному долгу и (или) начисленному вознаграждению свыше 90 (девяноста) календарных дней к общему объему ссудного портфеля банка до уровня менее 10 (десяти) процентов от ссудного портфеля. Срок завершения плана мероприятий не превышает срока с момента выявления фактора до 1 января 2018 года.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отражает планируемые к проведению мероприятия в каждом отчетном периоде, в том числе в разрезе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однократном несвоевременном исполнении банком плана мероприятий, одобренного уполномоченным органом, применяется надзорная надбавка, составляющая 2 (два) процентных пункта к значениям достаточности собственного капитала, и действует до снижения банком доли займов с просроченной задолженностью по основному долгу и (или) начисленному вознаграждению свыше 90 (девяноста) календарных дней к общему объему ссудного портфеля банка до уровня менее 10 (десяти) процентов от ссудного портфеля.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двукратном несвоевременном исполнении банком плана мероприятий в дополнение к надзорной надбавке, установленной частью третьей настоящего пункта Правил, уполномоченный орган применяет санкцию, предусмотренную подпунктом е)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банках, в отношении заместителя руководителя исполнительного органа банка, ответственного за исполнение плана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трехкратном несвоевременном исполнении банком плана мероприятий в дополнение к надзорной надбавке, установленной частью третьей настоящего пункта Правил, уполномоченный орган применяет санкцию, предусмотренную подпунктом е)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банках, в отношении руководителя исполнительного органа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несвоевременным исполнением банком плана мероприятий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на отчетную дату фактического значения фактора, предусмотренного подпунктом 5) части первой пункта 1 настоящего постановления, над прогнозным значением, установленным планом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внесение изменений в план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признается несвоевременным исполнением банком плана мероприятий превышение на отчетную дату фактического значения фактора, предусмотренного подпунктом 5) части первой пункта 1 настоящего постановления, над прогнозным значением: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менее, чем на 10 (десять)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менее 10 (десяти)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увеличения средневзвешенного биржевого курса тенге к иностранным валютам более чем на 10 (десять) процентов в течение последних 3 (трех) месяцев.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выявления фактора, предусмотренного подпунктом 5) части первой пункта 1 настоящего постановления, планы мероприятий по факторам, предусмотренным подпунктами 2) и 4) части первой пункта 1 настоящего постановления, не представляются при их выявлении.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факторов, предусмотренных подпунктами 2) и 4) части первой пункта 1 настоящего постановления, при отсутствии фактора, предусмотренного подпунктом 5) части первой пункта 1 настоящего постановления, а также их негативном влиянии на качество ссудного портфеля банка, представляется план мероприятий по выявленному фактору, предусматривающий проведение соответствующих мероприятий по доведению доли неработающих займов в ссудном портфеле банка до уровня, не превышающего 10 (десяти) процентов ссудного портфеля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негативным влиянием на качество ссудного портфеля банка следует понимать превышение отношения займов с просроченной задолженностью по основному долгу и (или) начисленному вознаграждению свыше 90 (девяноста) календарных дней к ссудному портфелю банка до уровня 10 (десяти) процентов, которое сложится при продолжении динамики изменения факторов, предусмотренных подпунктами 2) и 4) части первой пункта 1 настоящего постановления за последние 6 (шесть) последовательных календарных месяцев на предстоящие 12 (двенадцать) календарных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влияние на качество ссудного портфеля банка рассчитывается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подпункта 2) части первой пункта 1 настоящего постановления: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859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(месяц)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с просроченной задолженностью по основному долгу и (или) начисленному вознаграждению свыше 90 (девяноста) календарных дней без учета сформированных резервов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(месяц) - ссудный портфель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без учета сформированных резервов по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подпункта 4) части первой пункта 1 настоящего постановления: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среднее арифметическое значение займов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с просроченной задолженностью по основному долгу и (или) начисленному вознаграждению от 61 (шестидесяти одного) до 90 (девяноста) календарных дней без учета сформированных резервов по ним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среднее арифметическое значение займов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с просроченной задолженностью по основному долгу и (или) начисленному вознаграждению от 61 (шестидесяти одного) до 90 (девяноста) календарных дней без учета сформированных резервов по ним, за 6 (шесть) последовательных календарных месяцев, предшествующих отчетному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(месяц)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с просроченной задолженностью по основному долгу и (или) начисленному вознаграждению свыше 90 (девяноста) календарных дней без учета сформированных резервов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(месяц) – ссудный портфель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рассматриваемого периода без учета сформированных резервов по нему.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Методика определения факторов, влияющих на ухудшение финансового положения банка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в редакции постановления Правления Национального Банка РК от 11.09.2017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25.09.2017).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факторов, влияющих на ухудшение финансового положения банка, осуществляется по следующей методике: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2 (два) и более раза в течение 6 (шести) последовательных месяцев коэффициентов ликвидности до или ниже уровня, превышающего на 0,1 минимальные значения коэффициентов ликвидности, установленные Нормативами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в течение 6 (шести) последовательных месяцев займов с просроченной задолженностью по основному долгу и (или) начисленному вознаграждению свыше 90 (девяноста) календарных дней без учета сформированных резервов по ним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(месяц)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с просроченной задолженностью по основному долгу и (или) начисленному вознаграждению свыше 90 (девяноста) календарных дней без учета сформированных резервов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 увеличение данного показателя за отчетный период на 5 (пять)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в течение 6 (шести) последовательных месяцев соотношения чистых классифицированных займов к собственному капиталу при условии, что на конец отчетного периода чистые классифицированные займы составляют более 80 (восьмидесяти) процентов от собственного капитала,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ЧКЗ (месяц) - чистые классифицированные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за вычетом созданных по ним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 (месяц) - собственный капитал на конец определенного месяца рассматриваемого периода,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Нормативами № 170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КЗБ (месяц) - классифицированные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без учета сформированных резервов по ним на конец определенного месяца рассматриваемого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(месяц) - размер созданных резервов по классифицированным займам на конец определенного месяца рассматриваемого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в течение 6 (шести) последовательных месяцев займов с просроченной задолженностью по основному долгу и (или) начисленному вознаграждению по займам от 61 (шестидесяти одного) до 90 (девяноста) календарных дней без учета сформированных резервов по ним на 5 (пять) и более процентов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</w:t>
      </w:r>
      <w:r>
        <w:rPr>
          <w:rFonts w:ascii="Times New Roman"/>
          <w:b w:val="false"/>
          <w:i w:val="false"/>
          <w:color w:val="000000"/>
          <w:vertAlign w:val="superscript"/>
        </w:rPr>
        <w:t>61-90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(месяц)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с просроченной задолженностью по основному долгу и (или) начисленному вознаграждению от 61 (шестидесяти одного) до 90 (девяноста) календарных дней без учета сформированных резервов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 увеличение данного показателя за отчетный период на 5 (пять)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- среднее арифметическое значение займов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с просроченной задолженностью по основному долгу и (или) начисленному вознаграждению от 61 (шестидесяти одного) до 90 (девяноста) календарных дней без учета сформированных резервов по ним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среднее арифметическое значение займов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с просроченной задолженностью по основному долгу и (или) начисленному вознаграждению от 61 (шестидесяти одного) до 90 (девяноста) календарных дней без учета сформированных резервов по ним, за 6 (шесть) последовательных календарных месяцев, предшествующих отчетному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превышение отношения займов с просроченной задолженностью по основному долгу и (или) начисленному вознаграждению свыше 90 (девяноста)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рассматриваемого периода с просроченной задолженностью по основному долгу и (или) начисленному вознаграждению свыше 90 (девяноста) календарных дней без учета сформированных резервов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НЗ не включаются займы с просроченной задолженностью по основному долгу и (или) начисленному вознаграждению свыше 90 (девяноста) календарных дней, покрытые на сумму депозита, являющегося безусловным обеспечением понесенного обесценения по данным займам банка, имеющего рейтинг не ниже "А-" (по классификации рейтинговых агентств Standard &amp; Poor's и Fitch) или не ниже "А3" (по классификации рейтингового агентства Moody's Investors Service) и не являющегося банковским-холдингом или крупным участником по отношению к банку;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- ссудный портфель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рассматриваемого периода без учета сформированных резервов по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6 (шести) последовательных месяцев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КДЗ (месяц) - классифицированная дебиторская задолженность без учета сформированных резервов по ней на конец определенного месяца рассматриваемого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 (месяц) - совокупная дебиторская задолженность без учета сформированных резервов по ней на конец определенного месяца рассматриваемого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(месяц) - совокупные активы на конец определенного месяца рассматриваемого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 увеличение данного показателя за отчетный период на 5 (пять)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классифицированной дебиторской задолженностью понимается дебиторская задолженность, по которой согласно данным бухгалтерского учета сформированы резервы на уровне более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классифицированной дебиторской задолженности включается сумма основного долга.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увеличение доли классифицированной дебиторской задолженности в совокупной дебиторской задолженности возникло в результате снижения совокупной дебиторской задолженности, фактор, предусмотренный в настоящем подпункте, не применяется к банку;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коэффициента рентабельности активов 2 (два) и более раза в течение 6 (шести) последовательных месяцев ниже 0,2 (ноль целых два десятых)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рентабельности активов рассчитывается как отношение нераспределенной чистой прибыли (непокрытого убытка) в годовом выражении к средней величине активов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797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НЧП (НУ) </w:t>
      </w:r>
      <w:r>
        <w:rPr>
          <w:rFonts w:ascii="Times New Roman"/>
          <w:b w:val="false"/>
          <w:i w:val="false"/>
          <w:color w:val="000000"/>
          <w:vertAlign w:val="subscript"/>
        </w:rPr>
        <w:t>(n)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превышение текущих доходов (расходов) над текущими расходами (доходами) после уплаты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Аср </w:t>
      </w:r>
      <w:r>
        <w:rPr>
          <w:rFonts w:ascii="Times New Roman"/>
          <w:b w:val="false"/>
          <w:i w:val="false"/>
          <w:color w:val="000000"/>
          <w:vertAlign w:val="subscript"/>
        </w:rPr>
        <w:t>(n)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величина активов за определенный рассматриваемый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корректировки, который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17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количество истекших месяцев с начала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813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Аср</w:t>
      </w:r>
      <w:r>
        <w:rPr>
          <w:rFonts w:ascii="Times New Roman"/>
          <w:b w:val="false"/>
          <w:i w:val="false"/>
          <w:color w:val="000000"/>
          <w:vertAlign w:val="subscript"/>
        </w:rPr>
        <w:t>(n)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величина активов за определенный рассматриваемый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0, 1…n) </w:t>
      </w:r>
      <w:r>
        <w:rPr>
          <w:rFonts w:ascii="Times New Roman"/>
          <w:b w:val="false"/>
          <w:i w:val="false"/>
          <w:color w:val="000000"/>
          <w:sz w:val="28"/>
        </w:rPr>
        <w:t>- размер активов на конец определенного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истекших месяцев с начала соответствующего финансового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снижение 2 (два) и более раза в течение 6 (шести) последовательных месяцев среднего значения отношения свободных активов в национальной валюте к обязательствам до востребования в национальной валюте ниже 0,4.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активы в национальной валюте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корреспондентских счетах;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 в Национальном Банке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необремененные государственные ценные бумаги Республики Казахстан, включая номинированные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необремененные ценные бумаги, выпущенные акционерным обществом "Фонд национального благосостояния "Самрук-Казына" и акционерным обществом "Национальный управляющий холдинг "Байтерек";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вклады-овернайт в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обратное репо-овернайт;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национальной валюте по операциям валютный своп, заключенным на срок не более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до востребования в национальной валюте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счета и счета до востребования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счета и счета до востребования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корреспондентские счета и счета до востребования других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вклады-овернайт других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в национальной валюте по операциям валютный своп, заключенные на срок не более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данного фактора среднее значение отношения свободных активов в национальной валюте к обязательствам до востребования в национальной валюте рассчитываются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календарных дней в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Рассматриваемым периодом является период, заканчивающийся на отчетную дату. При расчете показателей факторов, влияющих на ухудшение финансового состояния банка, изменения представляются с тремя знаками после запятой;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снижение значений коэффициентов достаточности собственного капитала (k1, k1-2, k2) ниже суммы минимальных значений коэффициентов достаточности собственного капитала (k1, k1-2, k2), с учетом буферов собственного капитала, установленных уполномоченным органом, и процентной надбавки.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Процентная надбавка рассчитывается как отношение положительной разницы, установленной уполномоченным органом, умноженной: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25 сентября 2017 года на 95 (девяносто пять)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2017 года на 83,33 (восемьдесят три целых тридцать три сотых)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на 66,67 (шестьдесят шесть целых шестьдесят семь сотых)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2019 года на 50,01 (пятьдесят целых одна сотая)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2020 года на 33,33 (тридцать три целых тридцать три сотых)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2021 года на 16,67 (шестнадцать целых шестьдесят семь сотых)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сумме активов, условных и возможных обязательств, взвешенных по степени риска, принимаемых в расчет коэффициентов k1, k1-2 и k2.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сентября 2022 года процентная надбавка к минимальным значениям коэффициентов достаточности собственного капитала с учетом буферов капитала не включается.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факторов, предусмотренных подпунктами 4), 7) и 8) пункта 1 настоящего постановления, осуществляется с 1 июля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подпункта 7) настоящего пункта применяются к банку, у которого коэффициент достаточности основного капитала (k1) равен или находится ниже коэффициента достаточности основного капитала 0,10 или коэффициент достаточности собственного капитала (k2) равен или ниже коэффициента достаточности собственного капитала 0,13,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Нормативами № 170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69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мер раннего реагирования и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факторов, влияющих на ухудшение финансового</w:t>
      </w:r>
      <w:r>
        <w:br/>
      </w:r>
      <w:r>
        <w:rPr>
          <w:rFonts w:ascii="Times New Roman"/>
          <w:b/>
          <w:i w:val="false"/>
          <w:color w:val="000000"/>
        </w:rPr>
        <w:t>положения банковского конгломерата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мер раннего реагирования и методики определения факторов, влияющих на ухудшение финансового положения банковского конгломерата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и устанавливают порядок применения мер раннего реагирования и методику определения факторов, влияющих на ухудшение финансового положения банковского конгломерата.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контролю и надзору финансового рынка и финансовых организаций (далее - уполномоченный орган) применяет к банковскому холдингу и (или) его крупным участникам меры раннего реагирования при выявлении факторов, влияющих на ухудшение финансового положения банковского конгломерата, предусмотренных пунктом 2 настоящего постановления.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Правил не распространяются на банковские холдинги   – нерезиденты Республики Казахстан, лиц - нерезидентов Республики Казахстан, обладающих признаками банковского холдинга и соответствующих требованиям 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о банках.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финансовой устойчивости банковского конгломерата и недопущения ухудшения его финансового положения уполномоченный орган осуществляет анализ деятельности банковского конгломерата для выявления факторов, влияющих на ухудшение финансового положения банковского конгломерата, предусмотренных пунктом 2 настоящего постановления.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при выявлении факторов, влияющих на ухудшение финансового положения банковского конгломерата, указанных в пункте 2 настоящего постановления, в результате анализа финансового положения банковского конгломерата и (или) по итогам проверки банковского холдинга либо участников банковского конгломерата уполномоченный орган направляет банковскому холдингу и (или) его крупным участникам требование по представлению плана мероприятий, предусматривающего меры раннего реагирования по повышению финансовой устойчивости банковского конгломерата, недопущению ухудшения его финансового положения и увеличения рисков, связанных с деятельностью банковского конгломерата (далее - план мероприятий).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холдинг и (или) его крупные участники в срок не более 5 (пяти) рабочих дней со дня получения требования уполномоченного органа разрабатывают и представляют в уполномоченный орган план мероприятий, который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детальный анализ фактора, влияющего на ухудшение финансового положения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данного фактора, обоснование данного прогноза и негативные влияния на деятельность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данного фактора, то есть доведению до уровня, не представляющего угрозу (дополнительные риски) для деятельности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плана мероприятий (с указанием сроков исполнения по каждому пункту плана мероприятий);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лиц, ответственных за исполнение плана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план мероприятий, представленный банковским холдингом и (или) его крупными участниками.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уполномоченного органа с планом мероприятий, представленным банковским холдингом и (или) его крупными участниками, уполномоченный орган, банковский холдинг и (или) его крупные участники проводят совместное обсуждение с целью доработки плана мероприятий. При этом банковский холдинг и (или) его крупные участники корректируют план мероприятий для устранения замечаний уполномоченного органа в сроки, указанные в письме уполномоченного органа, или в случае несогласия с такими замечаниями предоставляют свои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письменной форме одобряет или не одобряет план мероприятий, представленный банковским холдингом и (или) крупным участником.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представленного плана мероприятий уполномоченным органом банковский холдинг и (или) его крупные участники приступают к его реализации и представляют в уполномоченный орган отчет о выполнении мероприятий в сроки, указанные в письме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неодобрении плана мероприятий уполномоченный орган применяет к банковскому холдингу и (или) его крупным участникам одну или несколько мер раннего реагирования из нижеперечисленных посредством предъявления требований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прекращению начисления и (или) выплаты дивидендов по простым акциям (распределению чистого дохода) участниками банковского конгломерата между их акционерами (участниками) соответственно на срок, установленный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отстранению от должности руководящих или иных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увеличению собственного капитала банковского конгломерата в размере, достаточном для обеспечения его финансовой устойчивости, в том числе путем увеличения уставного капитала участников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реструктуризации активов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сокращению административных расходов, в том числе посредством прекращения или ограничения дополнительного найма работников, а также уменьшения доли участия в уставном капитале дочерних и зависимых организаций, как на территории Республики Казахстан, так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приостановлению осуществления операций (прямых и косвенных), подвергающих риску банковский конгломерат и участников банковского конгломерата.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самостоятельного выявления факторов, влияющих на ухудшение финансового положения банковского конгломерата, предусмотренных пунктом 2 настоящего постановления, банковский холдинг и (или) его крупные участники в течение 5 (пяти) рабочих дней со дня выявления факторов, влияющих на ухудшение финансового положения банковского конгломерата, предоставляют в уполномоченный орган информацию, отражающую состояние ухудшения его финансового положения, с приложением плана мероприятий, предусмотренного пунктом 4 Правил.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Методика определения факторов, влияющих на ухудшение</w:t>
      </w:r>
      <w:r>
        <w:br/>
      </w:r>
      <w:r>
        <w:rPr>
          <w:rFonts w:ascii="Times New Roman"/>
          <w:b/>
          <w:i w:val="false"/>
          <w:color w:val="000000"/>
        </w:rPr>
        <w:t>финансового положения банковского конгломерата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факторов, влияющих на ухудшение финансового положения банковского конгломерата, осуществляется по следующей методике: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в отчетном квартале коэффициентов достаточности собственного капитала банковского конгломерата до или ниже уровня, превышающего на 0,02 (включительно) минимальные значения коэффициентов достаточности собственного капитала банковского конгломерата, установленных Нормативными значениями и методикой расчетов пруденциальных нормативов и иных обязательных к соблюдению норм и лимитов размера капитала банковского конгломерата на определенную дату,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309, зарегистрированным в Реестре государственной регистрации нормативных правовых актов под № 14790 (далее - Нормативы № 309);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в отчетном квартале коэффициентов максимального размера риска на одного заемщика банковского конгломерата до уровня ниже на 0,01 (включительно) минимального значения коэффициентов максимального размера риска на одного заемщика банковского конгломерата,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Нормативами № 309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(за исключением инвестиций участников банковского конгломерата в капитал других участников, сделок с дочерней организацией, приобретающей сомнительные и безнадежные активы родительского банка, сделок, закрытых на отчетную дату) до уровня 0,30 от собственного капитала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систематическое (три и более раза в течение 6 (шести) последовательных месяцев) применение мер раннего реагирования в отношении финансовых организаций, являющихся участниками банковского конгломерата.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 суммой требования участников банковского конгломерата друг к другу по внутригрупповым сделкам понимается сумма остатков требований участников банковского конгломерата друг к другу по внутригрупповым сделкам, информация по которым предусматривается в отчете по сбору сведений по внутригрупповым сделкам банковского конгломерата, заключенным в течение отчетного периода, а также действующим по состоянию на отчетную дату,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дату, перечня, форм, сроков представления отчетности о выполнении пруденциальных нормативов банковским конгломератом, а также Правил представления отчетности о выполнении пруденциальных нормативов банковским конгломератом", зарегистрированному в Реестре государственной регистрации нормативных правовых актов под № 14790.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финансовых инструментов на коэффициент кредитного риска для производных финансовых инструментов, указанный в Таблице коэффициентов кредитного риска для производных  финансовых инструментов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15886, и определяемый сроком погашения указанных финансовых инструментов.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февраля 2016 года № 69 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</w:t>
      </w:r>
      <w:r>
        <w:br/>
      </w:r>
      <w:r>
        <w:rPr>
          <w:rFonts w:ascii="Times New Roman"/>
          <w:b/>
          <w:i w:val="false"/>
          <w:color w:val="000000"/>
        </w:rPr>
        <w:t>также структурных элементов некоторых нормативных правовых</w:t>
      </w:r>
      <w:r>
        <w:br/>
      </w:r>
      <w:r>
        <w:rPr>
          <w:rFonts w:ascii="Times New Roman"/>
          <w:b/>
          <w:i w:val="false"/>
          <w:color w:val="000000"/>
        </w:rPr>
        <w:t>актов Республики Казахстан, признаваемых утратившими силу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июля 2015 года № 141 "Об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уровня" (зарегистрированное в Реестре государственной регистрации нормативных правовых актов под № 11987, опубликованное 16 сентября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июля 2015 года № 142 "Об утверждении Правил применения мер раннего реагирования и методики определения факторов, влияющих на ухудшение финансового положения банковского конгломерата" (зарегистрированное в Реестре государственной регистрации нормативных правовых актов под № 11986, опубликованное 16 сентября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дополнение, утвержденного постановлением Правления Национального Банка Республики Казахстан от 19 декабря 2015 года № 222 "О внесении изменений и дополнения в некоторые нормативные правовые акты Республики Казахстан по вопросам регулирования банковской деятельности" (зарегистрированного в Реестре государственной регистрации нормативных правовых актов под № 12863, опубликованного 29 января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