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4b1b" w14:textId="8ca4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банковской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февраля 2016 года № 67. Зарегистрировано в Министерстве юстиции Республики Казахстан 15 апреля 2016 года № 13596. Утратило силу постановлением Правления Национального Банка Республики Казахстан от 30 мая 2016 года № 147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30.05.2016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 6</w:t>
      </w:r>
    </w:p>
    <w:bookmarkStart w:name="z14"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3924)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о нормативных значениях и методике расчетов пруденциальных нормативов для банков второго уровня,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главой 4-1 следующего содержания:</w:t>
      </w:r>
      <w:r>
        <w:br/>
      </w:r>
      <w:r>
        <w:rPr>
          <w:rFonts w:ascii="Times New Roman"/>
          <w:b w:val="false"/>
          <w:i w:val="false"/>
          <w:color w:val="000000"/>
          <w:sz w:val="28"/>
        </w:rPr>
        <w:t>
      «4-1. Коэффициенты покрытия ликвидности и нетто стабильного фондирования</w:t>
      </w:r>
      <w:r>
        <w:br/>
      </w:r>
      <w:r>
        <w:rPr>
          <w:rFonts w:ascii="Times New Roman"/>
          <w:b w:val="false"/>
          <w:i w:val="false"/>
          <w:color w:val="000000"/>
          <w:sz w:val="28"/>
        </w:rPr>
        <w:t>
      45-2. Коэффициент покрытия ликвидности рассчитывается как отношение высококачественных ликвидных активов к нетто оттоку денежных средств по операциям банка в течение последующих 30 (тридцати) календарных дней.</w:t>
      </w:r>
      <w:r>
        <w:br/>
      </w:r>
      <w:r>
        <w:rPr>
          <w:rFonts w:ascii="Times New Roman"/>
          <w:b w:val="false"/>
          <w:i w:val="false"/>
          <w:color w:val="000000"/>
          <w:sz w:val="28"/>
        </w:rPr>
        <w:t>
      В целях расчета коэффициента покрытия ликвидности высококачественными ликвидными активами признаются активы, удовлетворяющие следующим условиям:</w:t>
      </w:r>
      <w:r>
        <w:br/>
      </w:r>
      <w:r>
        <w:rPr>
          <w:rFonts w:ascii="Times New Roman"/>
          <w:b w:val="false"/>
          <w:i w:val="false"/>
          <w:color w:val="000000"/>
          <w:sz w:val="28"/>
        </w:rPr>
        <w:t>
      не являются обеспечением по обязательствам банка (за исключением операций репо, своп и иных операций, совершаемых на возвратной основе);</w:t>
      </w:r>
      <w:r>
        <w:br/>
      </w:r>
      <w:r>
        <w:rPr>
          <w:rFonts w:ascii="Times New Roman"/>
          <w:b w:val="false"/>
          <w:i w:val="false"/>
          <w:color w:val="000000"/>
          <w:sz w:val="28"/>
        </w:rPr>
        <w:t>
      не предназначены для обеспечения минимального остатка хранения наличных денег в кассе или осуществления расходов по обеспечению деятельности банка;</w:t>
      </w:r>
      <w:r>
        <w:br/>
      </w:r>
      <w:r>
        <w:rPr>
          <w:rFonts w:ascii="Times New Roman"/>
          <w:b w:val="false"/>
          <w:i w:val="false"/>
          <w:color w:val="000000"/>
          <w:sz w:val="28"/>
        </w:rPr>
        <w:t>
      находятся в собственности банка, в том числе ценные бумаги, полученные в рамках операций, совершаемых на возвратной основе (операции репо, своп и другие операции), либо полученные в качестве обеспечения исполнения обязательств по размещенным средствам и сделкам с производными финансовыми инструментами, в случае отсутствия ограничений прав банка на их продажу, передачу в рамках операций репо, своп, в обеспечение по привлекаемым средствам до наступления срока исполнения обязательств по их возврату;</w:t>
      </w:r>
      <w:r>
        <w:br/>
      </w:r>
      <w:r>
        <w:rPr>
          <w:rFonts w:ascii="Times New Roman"/>
          <w:b w:val="false"/>
          <w:i w:val="false"/>
          <w:color w:val="000000"/>
          <w:sz w:val="28"/>
        </w:rPr>
        <w:t>
      находящиеся в распоряжении банка и обеспечивающие возможность незамедлительного получения денежных средств посредством проведения операций с активами (продажа, передача по операциям репо, своп и в обеспечение по привлекаемым средствам).</w:t>
      </w:r>
      <w:r>
        <w:br/>
      </w:r>
      <w:r>
        <w:rPr>
          <w:rFonts w:ascii="Times New Roman"/>
          <w:b w:val="false"/>
          <w:i w:val="false"/>
          <w:color w:val="000000"/>
          <w:sz w:val="28"/>
        </w:rPr>
        <w:t>
      В случае передачи ценных бумаг банком другому контрагенту в обеспечение по размещенным средствам, операциям обратного репо или сделкам с производными финансовыми инструментами, ценные бумаги включаются в расчет высококачественных ликвидных активов при невозможности их возврата первоначальным собственником в течение 30 (тридцати) календарных дней, последующих с даты расчета коэффициента покрытия ликвидности.</w:t>
      </w:r>
      <w:r>
        <w:br/>
      </w:r>
      <w:r>
        <w:rPr>
          <w:rFonts w:ascii="Times New Roman"/>
          <w:b w:val="false"/>
          <w:i w:val="false"/>
          <w:color w:val="000000"/>
          <w:sz w:val="28"/>
        </w:rPr>
        <w:t>
      45-3. Высококачественные ликвидные активы рассчитываются как сумма высококачественных ликвидных активов первого уровня, умноженных на коэффициенты, установленные в Таблице высококачественных ликвидных активов банка в соответствии с приложением 14 к Инструкции и высококачественных ликвидных активов второго уровня, умноженных на коэффициенты, установленные в Таблице высококачественных ликвидных активов банка в соответствии с приложением 14 к Инструкции. Высококачественные ликвидные активы первого и второго уровней принимаются в расчет высококачественных ликвидных активов по справедливой (рыночной стоимости).</w:t>
      </w:r>
      <w:r>
        <w:br/>
      </w:r>
      <w:r>
        <w:rPr>
          <w:rFonts w:ascii="Times New Roman"/>
          <w:b w:val="false"/>
          <w:i w:val="false"/>
          <w:color w:val="000000"/>
          <w:sz w:val="28"/>
        </w:rPr>
        <w:t>
      45-4. Высококачественными ликвидными активами первого уровня признаются активы, удовлетворяющие условиям, установленным в пункте 45-2 Инструкции и являющиеся:</w:t>
      </w:r>
      <w:r>
        <w:br/>
      </w:r>
      <w:r>
        <w:rPr>
          <w:rFonts w:ascii="Times New Roman"/>
          <w:b w:val="false"/>
          <w:i w:val="false"/>
          <w:color w:val="000000"/>
          <w:sz w:val="28"/>
        </w:rPr>
        <w:t>
      1) наличными деньгами;</w:t>
      </w:r>
      <w:r>
        <w:br/>
      </w:r>
      <w:r>
        <w:rPr>
          <w:rFonts w:ascii="Times New Roman"/>
          <w:b w:val="false"/>
          <w:i w:val="false"/>
          <w:color w:val="000000"/>
          <w:sz w:val="28"/>
        </w:rPr>
        <w:t>
      2) депозитами в Национальном Банке, превышающими минимальные резервные требования, установленные Правилами о минимальных резервных требованиях, включая структуру обязательств банков, принимаемых для расчета, условия выполнения минимальных резервных требований, порядок резервирования,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20 марта 2015 года № 38, зарегистрированным в Реестре государственной регистрации нормативных правовых актов под № 10776;</w:t>
      </w:r>
      <w:r>
        <w:br/>
      </w:r>
      <w:r>
        <w:rPr>
          <w:rFonts w:ascii="Times New Roman"/>
          <w:b w:val="false"/>
          <w:i w:val="false"/>
          <w:color w:val="000000"/>
          <w:sz w:val="28"/>
        </w:rPr>
        <w:t>
      3) требованиями к Правительству Республики Казахстан, Национальному Банку, в том числе ценными бумагами, гарантированными Правительством Республики Казахстан, Национальным Банком;</w:t>
      </w:r>
      <w:r>
        <w:br/>
      </w:r>
      <w:r>
        <w:rPr>
          <w:rFonts w:ascii="Times New Roman"/>
          <w:b w:val="false"/>
          <w:i w:val="false"/>
          <w:color w:val="000000"/>
          <w:sz w:val="28"/>
        </w:rPr>
        <w:t>
      4) требованиями к центральным правительствам иностранных государств и центральным банкам иностранных государств, к международным финансовым организациям, в том числе ценными бумагами, гарантированными правительствами иностранных государств и центральными банками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в соответствии с приложением 4 к Инструкции и удовлетворяющих каждому из следующих условий:</w:t>
      </w:r>
      <w:r>
        <w:br/>
      </w:r>
      <w:r>
        <w:rPr>
          <w:rFonts w:ascii="Times New Roman"/>
          <w:b w:val="false"/>
          <w:i w:val="false"/>
          <w:color w:val="000000"/>
          <w:sz w:val="28"/>
        </w:rPr>
        <w:t>
      относятся к первой группе активов, взвешиваемых по степени кредитного риска 0 (ноль) процентов согласно Таблице активов банка, взвешенных по степени кредитного риска вложений в соответствии с приложением 1 к Инструкции;</w:t>
      </w:r>
      <w:r>
        <w:br/>
      </w:r>
      <w:r>
        <w:rPr>
          <w:rFonts w:ascii="Times New Roman"/>
          <w:b w:val="false"/>
          <w:i w:val="false"/>
          <w:color w:val="000000"/>
          <w:sz w:val="28"/>
        </w:rPr>
        <w:t>
      не являются обязательствами финансовых организаций или аффилиированных с ними организаций;</w:t>
      </w:r>
      <w:r>
        <w:br/>
      </w:r>
      <w:r>
        <w:rPr>
          <w:rFonts w:ascii="Times New Roman"/>
          <w:b w:val="false"/>
          <w:i w:val="false"/>
          <w:color w:val="000000"/>
          <w:sz w:val="28"/>
        </w:rPr>
        <w:t>
      5) требованиями к центральным правительствам иностранных государств и центральным банкам иностранных государств в виде ценных бумаг, номинированных в валюте страны-эмитента, в случае если требования к центральным правительствам иностранных государств и центральным банкам иностранных государств взвешиваются по степени кредитного риска выше 0 (нуля) процентов согласно Таблице активов банка, взвешенных по степени кредитного риска вложений в соответствии с приложением 1 к Инструкции.</w:t>
      </w:r>
      <w:r>
        <w:br/>
      </w:r>
      <w:r>
        <w:rPr>
          <w:rFonts w:ascii="Times New Roman"/>
          <w:b w:val="false"/>
          <w:i w:val="false"/>
          <w:color w:val="000000"/>
          <w:sz w:val="28"/>
        </w:rPr>
        <w:t>
      45-5. Высококачественными ликвидными активами второго уровня признаются активы, удовлетворяющие условиям, установленным в пункте 45-2 Инструкции и являющиеся:</w:t>
      </w:r>
      <w:r>
        <w:br/>
      </w:r>
      <w:r>
        <w:rPr>
          <w:rFonts w:ascii="Times New Roman"/>
          <w:b w:val="false"/>
          <w:i w:val="false"/>
          <w:color w:val="000000"/>
          <w:sz w:val="28"/>
        </w:rPr>
        <w:t>
      1) требованиями к местным органам власти Республики Казахстан, в том числе ценными бумагами, выпущенными местными органами власти Республики Казахстан, в случае если требования к местным органам власти Республики Казахстан взвешиваются по степени кредитного риска 20 (двадцать) процентов согласно Таблице активов банка, взвешенных по степени кредитного риска вложений в соответствии с приложением 1 к Инструкции;</w:t>
      </w:r>
      <w:r>
        <w:br/>
      </w:r>
      <w:r>
        <w:rPr>
          <w:rFonts w:ascii="Times New Roman"/>
          <w:b w:val="false"/>
          <w:i w:val="false"/>
          <w:color w:val="000000"/>
          <w:sz w:val="28"/>
        </w:rPr>
        <w:t>
      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в соответствии с приложением 4 к Инструкции, удовлетворяющих каждому из следующих условий:</w:t>
      </w:r>
      <w:r>
        <w:br/>
      </w:r>
      <w:r>
        <w:rPr>
          <w:rFonts w:ascii="Times New Roman"/>
          <w:b w:val="false"/>
          <w:i w:val="false"/>
          <w:color w:val="000000"/>
          <w:sz w:val="28"/>
        </w:rPr>
        <w:t>
      относятся ко второй группе активов, взвешиваемых по степени кредитного риска 20 (двадцать) процентов согласно Таблице активов банка, взвешенных по степени кредитного риска вложений в соответствии с приложением 1 к Инструкции;</w:t>
      </w:r>
      <w:r>
        <w:br/>
      </w: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r>
        <w:br/>
      </w:r>
      <w:r>
        <w:rPr>
          <w:rFonts w:ascii="Times New Roman"/>
          <w:b w:val="false"/>
          <w:i w:val="false"/>
          <w:color w:val="000000"/>
          <w:sz w:val="28"/>
        </w:rPr>
        <w:t>
      не являются обязательствами финансовых организаций или аффилиированных с ними организаций;</w:t>
      </w:r>
      <w:r>
        <w:br/>
      </w:r>
      <w:r>
        <w:rPr>
          <w:rFonts w:ascii="Times New Roman"/>
          <w:b w:val="false"/>
          <w:i w:val="false"/>
          <w:color w:val="000000"/>
          <w:sz w:val="28"/>
        </w:rPr>
        <w:t>
      3) требованиями в виде ценных бумаг, эмитентами которых не являются финансовые организации или аффилиированные с ними организации;</w:t>
      </w:r>
      <w:r>
        <w:br/>
      </w:r>
      <w:r>
        <w:rPr>
          <w:rFonts w:ascii="Times New Roman"/>
          <w:b w:val="false"/>
          <w:i w:val="false"/>
          <w:color w:val="000000"/>
          <w:sz w:val="28"/>
        </w:rPr>
        <w:t>
      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банка или аффилиированных с ним организаций.</w:t>
      </w:r>
      <w:r>
        <w:br/>
      </w:r>
      <w:r>
        <w:rPr>
          <w:rFonts w:ascii="Times New Roman"/>
          <w:b w:val="false"/>
          <w:i w:val="false"/>
          <w:color w:val="000000"/>
          <w:sz w:val="28"/>
        </w:rPr>
        <w:t>
      Требования, указанные в подпунктах 3) и 4) настоящего пункта Инструкции, удовлетворяют каждому из следующих условий:</w:t>
      </w:r>
      <w:r>
        <w:br/>
      </w:r>
      <w:r>
        <w:rPr>
          <w:rFonts w:ascii="Times New Roman"/>
          <w:b w:val="false"/>
          <w:i w:val="false"/>
          <w:color w:val="000000"/>
          <w:sz w:val="28"/>
        </w:rPr>
        <w:t>
      имеют долгосрочные кредитные рейтинги не ниже «АА-» рейтингового агентства Standard&amp;Poor’s или рейтинг аналогичного уровня одного из других рейтинговых агентств, либо соответствующий краткосрочный рейтинг агентства Standard&amp;Poor’s или рейтинг аналогичного уровня одного из других рейтинговых агентств;</w:t>
      </w:r>
      <w:r>
        <w:br/>
      </w:r>
      <w:r>
        <w:rPr>
          <w:rFonts w:ascii="Times New Roman"/>
          <w:b w:val="false"/>
          <w:i w:val="false"/>
          <w:color w:val="000000"/>
          <w:sz w:val="28"/>
        </w:rPr>
        <w:t>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в соответствии с приложением 4 к Инструкции;</w:t>
      </w:r>
      <w:r>
        <w:br/>
      </w: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r>
        <w:br/>
      </w:r>
      <w:r>
        <w:rPr>
          <w:rFonts w:ascii="Times New Roman"/>
          <w:b w:val="false"/>
          <w:i w:val="false"/>
          <w:color w:val="000000"/>
          <w:sz w:val="28"/>
        </w:rPr>
        <w:t>
      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 40 (сорока) процентов от высококачественных ликвидных активов.</w:t>
      </w:r>
      <w:r>
        <w:br/>
      </w:r>
      <w:r>
        <w:rPr>
          <w:rFonts w:ascii="Times New Roman"/>
          <w:b w:val="false"/>
          <w:i w:val="false"/>
          <w:color w:val="000000"/>
          <w:sz w:val="28"/>
        </w:rPr>
        <w:t>
      Если активы, включенные в расчет высококачественных ликвидных активов, перестают удовлетворять условиям, установленным в пунктах 45-4 и (или) 45-5 Инструкции, указанные активы продолжают включаться в расчет высококачественных ликвидных активов в течение срока, не превышающего 30 (тридцать) календарных дней с даты возникновения несоответствия указанным условиям.</w:t>
      </w:r>
      <w:r>
        <w:br/>
      </w:r>
      <w:r>
        <w:rPr>
          <w:rFonts w:ascii="Times New Roman"/>
          <w:b w:val="false"/>
          <w:i w:val="false"/>
          <w:color w:val="000000"/>
          <w:sz w:val="28"/>
        </w:rPr>
        <w:t>
      45-6. Нетто отток денежных средств рассчитывается по следующей формуле:</w:t>
      </w:r>
    </w:p>
    <w:bookmarkEnd w:id="0"/>
    <w:p>
      <w:pPr>
        <w:spacing w:after="0"/>
        <w:ind w:left="0"/>
        <w:jc w:val="both"/>
      </w:pPr>
      <w:r>
        <w:rPr>
          <w:rFonts w:ascii="Times New Roman"/>
          <w:b w:val="false"/>
          <w:i w:val="false"/>
          <w:color w:val="000000"/>
          <w:sz w:val="28"/>
        </w:rPr>
        <w:t>НОДС=ДО-0,75*ДО, в случае если ДП&gt;0,75*ДО;</w:t>
      </w:r>
      <w:r>
        <w:br/>
      </w:r>
      <w:r>
        <w:rPr>
          <w:rFonts w:ascii="Times New Roman"/>
          <w:b w:val="false"/>
          <w:i w:val="false"/>
          <w:color w:val="000000"/>
          <w:sz w:val="28"/>
        </w:rPr>
        <w:t>
НОДС=ДО-ДП, в случае если ДП&lt;0,75*ДО,</w:t>
      </w:r>
    </w:p>
    <w:bookmarkStart w:name="z18" w:id="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НОДС – нетто отток денежных средств;</w:t>
      </w:r>
      <w:r>
        <w:br/>
      </w:r>
      <w:r>
        <w:rPr>
          <w:rFonts w:ascii="Times New Roman"/>
          <w:b w:val="false"/>
          <w:i w:val="false"/>
          <w:color w:val="000000"/>
          <w:sz w:val="28"/>
        </w:rPr>
        <w:t>
      ДО – денежный отток;</w:t>
      </w:r>
      <w:r>
        <w:br/>
      </w:r>
      <w:r>
        <w:rPr>
          <w:rFonts w:ascii="Times New Roman"/>
          <w:b w:val="false"/>
          <w:i w:val="false"/>
          <w:color w:val="000000"/>
          <w:sz w:val="28"/>
        </w:rPr>
        <w:t>
      ДП – денежный приток.</w:t>
      </w:r>
      <w:r>
        <w:br/>
      </w:r>
      <w:r>
        <w:rPr>
          <w:rFonts w:ascii="Times New Roman"/>
          <w:b w:val="false"/>
          <w:i w:val="false"/>
          <w:color w:val="000000"/>
          <w:sz w:val="28"/>
        </w:rPr>
        <w:t>
      Денежный отток рассчитывается согласно пункту 45-7 Инструкции, денежный приток рассчитывается согласно пункту 45-8 Инструкции.</w:t>
      </w:r>
      <w:r>
        <w:br/>
      </w:r>
      <w:r>
        <w:rPr>
          <w:rFonts w:ascii="Times New Roman"/>
          <w:b w:val="false"/>
          <w:i w:val="false"/>
          <w:color w:val="000000"/>
          <w:sz w:val="28"/>
        </w:rPr>
        <w:t>
      45-7. Денежный отток рассчитывается как сумма денежных оттоков в течение последующих 30 (тридцати) календарных дней, с применением коэффициентов оттока, установленных в Таблице денежных оттоков и притоков банка в соответствии с приложением 15 к Инструкции по следующим обязательствам банка:</w:t>
      </w:r>
      <w:r>
        <w:br/>
      </w:r>
      <w:r>
        <w:rPr>
          <w:rFonts w:ascii="Times New Roman"/>
          <w:b w:val="false"/>
          <w:i w:val="false"/>
          <w:color w:val="000000"/>
          <w:sz w:val="28"/>
        </w:rPr>
        <w:t xml:space="preserve">
      денежные оттоки по депозитам физических лиц; </w:t>
      </w:r>
      <w:r>
        <w:br/>
      </w:r>
      <w:r>
        <w:rPr>
          <w:rFonts w:ascii="Times New Roman"/>
          <w:b w:val="false"/>
          <w:i w:val="false"/>
          <w:color w:val="000000"/>
          <w:sz w:val="28"/>
        </w:rPr>
        <w:t>
      денежные оттоки по обязательствам перед юридическими лицами, субъектами малого предпринимательства не обеспеченным активами банка;</w:t>
      </w:r>
      <w:r>
        <w:br/>
      </w:r>
      <w:r>
        <w:rPr>
          <w:rFonts w:ascii="Times New Roman"/>
          <w:b w:val="false"/>
          <w:i w:val="false"/>
          <w:color w:val="000000"/>
          <w:sz w:val="28"/>
        </w:rPr>
        <w:t>
      денежные оттоки по обязательствам перед юридическими лицами, обеспеченным активами банка;</w:t>
      </w:r>
      <w:r>
        <w:br/>
      </w:r>
      <w:r>
        <w:rPr>
          <w:rFonts w:ascii="Times New Roman"/>
          <w:b w:val="false"/>
          <w:i w:val="false"/>
          <w:color w:val="000000"/>
          <w:sz w:val="28"/>
        </w:rPr>
        <w:t>
      дополнительные денежные оттоки по условным и возможным обязательствам.</w:t>
      </w:r>
      <w:r>
        <w:br/>
      </w:r>
      <w:r>
        <w:rPr>
          <w:rFonts w:ascii="Times New Roman"/>
          <w:b w:val="false"/>
          <w:i w:val="false"/>
          <w:color w:val="000000"/>
          <w:sz w:val="28"/>
        </w:rPr>
        <w:t>
      В целях расчета денежного оттока, депозиты физических лиц классифицируются как стабильные и менее стабильные. В расчете денежного оттока депозиты физических и юридических лиц учитываются с любым сроком погашения.</w:t>
      </w:r>
      <w:r>
        <w:br/>
      </w:r>
      <w:r>
        <w:rPr>
          <w:rFonts w:ascii="Times New Roman"/>
          <w:b w:val="false"/>
          <w:i w:val="false"/>
          <w:color w:val="000000"/>
          <w:sz w:val="28"/>
        </w:rPr>
        <w:t>
      Стабильные депозиты включают гарантируемые депозиты, в размере, покрываемом гарантийным возмещением,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7 июля 2006 года «Об обязательном гарантировании депозитов, размещенных в банках второго уровня Республики Казахстан».</w:t>
      </w:r>
      <w:r>
        <w:br/>
      </w:r>
      <w:r>
        <w:rPr>
          <w:rFonts w:ascii="Times New Roman"/>
          <w:b w:val="false"/>
          <w:i w:val="false"/>
          <w:color w:val="000000"/>
          <w:sz w:val="28"/>
        </w:rPr>
        <w:t>
      Менее стабильные депозиты включают депозиты, не являющиеся гарантируемыми, либо являющиеся гарантируемыми, в размере превышения над гарантийным возмещением,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7 июля 2006 года «Об обязательном гарантировании депозитов, размещенных в банках второго уровня Республики Казахстан».</w:t>
      </w:r>
      <w:r>
        <w:br/>
      </w:r>
      <w:r>
        <w:rPr>
          <w:rFonts w:ascii="Times New Roman"/>
          <w:b w:val="false"/>
          <w:i w:val="false"/>
          <w:color w:val="000000"/>
          <w:sz w:val="28"/>
        </w:rPr>
        <w:t>
      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условиями которых предусмотрена возможность изъятия денежных средств по инициативе юридических лиц, субъектов малого предпринимательства, в течение 30 (тридцати) календарных дней, последующих с даты расчета коэффициента покрытия ликвидности, и вклады, связанные с клиринговой, кастодиальной деятельностью, с деятельностью по управлению ликвидностью клиента.</w:t>
      </w:r>
      <w:r>
        <w:br/>
      </w:r>
      <w:r>
        <w:rPr>
          <w:rFonts w:ascii="Times New Roman"/>
          <w:b w:val="false"/>
          <w:i w:val="false"/>
          <w:color w:val="000000"/>
          <w:sz w:val="28"/>
        </w:rPr>
        <w:t>
      Вклады, связанные с клиринговой, кастодиальной деятельностью, с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с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r>
        <w:br/>
      </w:r>
      <w:r>
        <w:rPr>
          <w:rFonts w:ascii="Times New Roman"/>
          <w:b w:val="false"/>
          <w:i w:val="false"/>
          <w:color w:val="000000"/>
          <w:sz w:val="28"/>
        </w:rPr>
        <w:t>
      Обязательства по вкладам, связанным с клиринговой, кастодиальной деятельностью, с деятельностью по управлению ликвидностью клиента определяются в размере, равном минимальному остатку денег на счете, достаточных для удовлетворения потребностей клиента. Методика определения минимального остатка денег на счете, достаточного для удовлетворения потребностей клиента, применяется банком самостоятельно.</w:t>
      </w:r>
      <w:r>
        <w:br/>
      </w:r>
      <w:r>
        <w:rPr>
          <w:rFonts w:ascii="Times New Roman"/>
          <w:b w:val="false"/>
          <w:i w:val="false"/>
          <w:color w:val="000000"/>
          <w:sz w:val="28"/>
        </w:rPr>
        <w:t>
      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органами власти Республики Казахстан и международными финансовыми организациями, взвешиваемые по степени кредитного риска не более 20 (двадцати) процентов согласно Таблице активов банка, взвешенных по степени кредитного риска вложений в соответствии с приложением 1 к Инструкции, и иные обязательства, обеспечение по которым не является высококачественным ликвидным активом первого или второго уровней.</w:t>
      </w:r>
      <w:r>
        <w:br/>
      </w:r>
      <w:r>
        <w:rPr>
          <w:rFonts w:ascii="Times New Roman"/>
          <w:b w:val="false"/>
          <w:i w:val="false"/>
          <w:color w:val="000000"/>
          <w:sz w:val="28"/>
        </w:rPr>
        <w:t>
      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банка в соответствии с приложением 15 к Инструкции. Дополнительный денежный отток по условным обязательствам, сделкам с производными финансовыми инструментами и иным операциям, включает:</w:t>
      </w:r>
      <w:r>
        <w:br/>
      </w:r>
      <w:r>
        <w:rPr>
          <w:rFonts w:ascii="Times New Roman"/>
          <w:b w:val="false"/>
          <w:i w:val="false"/>
          <w:color w:val="000000"/>
          <w:sz w:val="28"/>
        </w:rPr>
        <w:t>
      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условиями договора предусмотрено предоставление дополнительной ликвидности, в виде дополнительного обеспечения, денежной выплаты, досрочного выполнения обязательств по договору, при понижении долгосрочного или краткосрочного кредитного рейтинга банка до 3 (трех) ступеней включительно;</w:t>
      </w:r>
      <w:r>
        <w:br/>
      </w:r>
      <w:r>
        <w:rPr>
          <w:rFonts w:ascii="Times New Roman"/>
          <w:b w:val="false"/>
          <w:i w:val="false"/>
          <w:color w:val="000000"/>
          <w:sz w:val="28"/>
        </w:rPr>
        <w:t>
      дополнительную потребность в ликвидности, связанную с изменением рыночной оценки позиций по производным финансовым инструментам и иным операциям, предполагающих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r>
        <w:br/>
      </w:r>
      <w:r>
        <w:rPr>
          <w:rFonts w:ascii="Times New Roman"/>
          <w:b w:val="false"/>
          <w:i w:val="false"/>
          <w:color w:val="000000"/>
          <w:sz w:val="28"/>
        </w:rPr>
        <w:t>
      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рассчитанного с применением коэффициента учета установленного в Таблице высококачественных ликвидных активов банка в соответствии с приложением 14 к Инструкции,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r>
        <w:br/>
      </w:r>
      <w:r>
        <w:rPr>
          <w:rFonts w:ascii="Times New Roman"/>
          <w:b w:val="false"/>
          <w:i w:val="false"/>
          <w:color w:val="000000"/>
          <w:sz w:val="28"/>
        </w:rPr>
        <w:t>
      отток, связанный с правом клиента на требование незамедлительного возврата части предоставленного банку обеспечения по сделкам с производными финансовыми инструментами, обусловленный превышением объема предоставленного обеспечения над необходимым объемом, в полном объеме превышения;</w:t>
      </w:r>
      <w:r>
        <w:br/>
      </w:r>
      <w:r>
        <w:rPr>
          <w:rFonts w:ascii="Times New Roman"/>
          <w:b w:val="false"/>
          <w:i w:val="false"/>
          <w:color w:val="000000"/>
          <w:sz w:val="28"/>
        </w:rPr>
        <w:t>
      дополнительную потребность в ликвидности по операциям, предусматривающим предоставление банком обеспечения, и право контрагента к требованию обеспечения в соответствии с условиями договора, в случае если обеспечение не предоставлено;</w:t>
      </w:r>
      <w:r>
        <w:br/>
      </w:r>
      <w:r>
        <w:rPr>
          <w:rFonts w:ascii="Times New Roman"/>
          <w:b w:val="false"/>
          <w:i w:val="false"/>
          <w:color w:val="000000"/>
          <w:sz w:val="28"/>
        </w:rPr>
        <w:t>
      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r>
        <w:br/>
      </w:r>
      <w:r>
        <w:rPr>
          <w:rFonts w:ascii="Times New Roman"/>
          <w:b w:val="false"/>
          <w:i w:val="false"/>
          <w:color w:val="000000"/>
          <w:sz w:val="28"/>
        </w:rPr>
        <w:t>
      отток по ценным бумагам, обеспеченным поступлением денег по активам, в том числе по ипотечным ценным бумагам, выпущенным самим банком, и имеющим срок погашения менее 30 (тридцати) календарных дней;</w:t>
      </w:r>
      <w:r>
        <w:br/>
      </w:r>
      <w:r>
        <w:rPr>
          <w:rFonts w:ascii="Times New Roman"/>
          <w:b w:val="false"/>
          <w:i w:val="false"/>
          <w:color w:val="000000"/>
          <w:sz w:val="28"/>
        </w:rPr>
        <w:t>
      отток по ценным бумагам, обеспеченным поступлением денег по активам,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менее 30 (тридцати) календарных дней.</w:t>
      </w:r>
      <w:r>
        <w:br/>
      </w:r>
      <w:r>
        <w:rPr>
          <w:rFonts w:ascii="Times New Roman"/>
          <w:b w:val="false"/>
          <w:i w:val="false"/>
          <w:color w:val="000000"/>
          <w:sz w:val="28"/>
        </w:rPr>
        <w:t>
      Под дочерними специальными организациями банка следует понимать 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r>
        <w:br/>
      </w:r>
      <w:r>
        <w:rPr>
          <w:rFonts w:ascii="Times New Roman"/>
          <w:b w:val="false"/>
          <w:i w:val="false"/>
          <w:color w:val="000000"/>
          <w:sz w:val="28"/>
        </w:rPr>
        <w:t>
      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 либо условно отзывными. Денежные оттоки по безусловно отзывным кредитным линиям и линиям ликвидности классифицируются как иные денежные оттоки по обязательствам в соответствии с Таблицей денежных оттоков и притоков банка согласно приложению 15 к Инструкции.</w:t>
      </w:r>
      <w:r>
        <w:br/>
      </w:r>
      <w:r>
        <w:rPr>
          <w:rFonts w:ascii="Times New Roman"/>
          <w:b w:val="false"/>
          <w:i w:val="false"/>
          <w:color w:val="000000"/>
          <w:sz w:val="28"/>
        </w:rPr>
        <w:t>
      Под линией ликвидности понимаются следующие обязательства банка:</w:t>
      </w:r>
      <w:r>
        <w:br/>
      </w:r>
      <w:r>
        <w:rPr>
          <w:rFonts w:ascii="Times New Roman"/>
          <w:b w:val="false"/>
          <w:i w:val="false"/>
          <w:color w:val="000000"/>
          <w:sz w:val="28"/>
        </w:rPr>
        <w:t>
      по предоставлению денег клиенту для погашения ранее выпущенных клиентом ценных бумаг;</w:t>
      </w:r>
      <w:r>
        <w:br/>
      </w:r>
      <w:r>
        <w:rPr>
          <w:rFonts w:ascii="Times New Roman"/>
          <w:b w:val="false"/>
          <w:i w:val="false"/>
          <w:color w:val="000000"/>
          <w:sz w:val="28"/>
        </w:rPr>
        <w:t>
      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r>
        <w:br/>
      </w:r>
      <w:r>
        <w:rPr>
          <w:rFonts w:ascii="Times New Roman"/>
          <w:b w:val="false"/>
          <w:i w:val="false"/>
          <w:color w:val="000000"/>
          <w:sz w:val="28"/>
        </w:rPr>
        <w:t>
      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последующих 30 (тридцати) календарных дней с даты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r>
        <w:br/>
      </w:r>
      <w:r>
        <w:rPr>
          <w:rFonts w:ascii="Times New Roman"/>
          <w:b w:val="false"/>
          <w:i w:val="false"/>
          <w:color w:val="000000"/>
          <w:sz w:val="28"/>
        </w:rPr>
        <w:t>
      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r>
        <w:br/>
      </w:r>
      <w:r>
        <w:rPr>
          <w:rFonts w:ascii="Times New Roman"/>
          <w:b w:val="false"/>
          <w:i w:val="false"/>
          <w:color w:val="000000"/>
          <w:sz w:val="28"/>
        </w:rPr>
        <w:t>
      являются высококачественными ликвидными активами первого или второго уровней;</w:t>
      </w:r>
      <w:r>
        <w:br/>
      </w:r>
      <w:r>
        <w:rPr>
          <w:rFonts w:ascii="Times New Roman"/>
          <w:b w:val="false"/>
          <w:i w:val="false"/>
          <w:color w:val="000000"/>
          <w:sz w:val="28"/>
        </w:rPr>
        <w:t>
      не включены в состав высококачественных ликвидных активов банка;</w:t>
      </w:r>
      <w:r>
        <w:br/>
      </w:r>
      <w:r>
        <w:rPr>
          <w:rFonts w:ascii="Times New Roman"/>
          <w:b w:val="false"/>
          <w:i w:val="false"/>
          <w:color w:val="000000"/>
          <w:sz w:val="28"/>
        </w:rPr>
        <w:t>
      доступны для проведения операций, совершаемых на возвратной основе;</w:t>
      </w:r>
      <w:r>
        <w:br/>
      </w:r>
      <w:r>
        <w:rPr>
          <w:rFonts w:ascii="Times New Roman"/>
          <w:b w:val="false"/>
          <w:i w:val="false"/>
          <w:color w:val="000000"/>
          <w:sz w:val="28"/>
        </w:rPr>
        <w:t>
      отсутствует право на предъявление требований о досрочном возврате.</w:t>
      </w:r>
      <w:r>
        <w:br/>
      </w:r>
      <w:r>
        <w:rPr>
          <w:rFonts w:ascii="Times New Roman"/>
          <w:b w:val="false"/>
          <w:i w:val="false"/>
          <w:color w:val="000000"/>
          <w:sz w:val="28"/>
        </w:rPr>
        <w:t>
      Если денежные оттоки по обязательствам перед физическими лицами и нефинансовыми организациями в течение 30 (тридцати) календарных дней последующих с даты расчета коэффициента покрытия ликвидности превышают 50 (пятьдесят) процентов денежного притока в течение 30 (тридцати) календарных дней последующих с даты расчета коэффициента покрытия ликвидности, сумма превышения учитывается в денежном оттоке с применением коэффициента оттока 100 (сто) процентов.</w:t>
      </w:r>
      <w:r>
        <w:br/>
      </w:r>
      <w:r>
        <w:rPr>
          <w:rFonts w:ascii="Times New Roman"/>
          <w:b w:val="false"/>
          <w:i w:val="false"/>
          <w:color w:val="000000"/>
          <w:sz w:val="28"/>
        </w:rPr>
        <w:t>
      45-8. Денежный приток рассчитывается как сумма притоков в течение последующих 30 (тридцати) календарных дней, с применением коэффициентов притока, установленных в Таблице денежных оттоков и притоков банка в соответствии с приложением 15 к Инструкции по следующим активам банка:</w:t>
      </w:r>
      <w:r>
        <w:br/>
      </w:r>
      <w:r>
        <w:rPr>
          <w:rFonts w:ascii="Times New Roman"/>
          <w:b w:val="false"/>
          <w:i w:val="false"/>
          <w:color w:val="000000"/>
          <w:sz w:val="28"/>
        </w:rPr>
        <w:t xml:space="preserve">
      обеспеченные заемные операции, включая операции, совершаемые на возвратной основе (операции репо, своп и иные операции); </w:t>
      </w:r>
      <w:r>
        <w:br/>
      </w:r>
      <w:r>
        <w:rPr>
          <w:rFonts w:ascii="Times New Roman"/>
          <w:b w:val="false"/>
          <w:i w:val="false"/>
          <w:color w:val="000000"/>
          <w:sz w:val="28"/>
        </w:rPr>
        <w:t>
      кредиты, выданные физическим и юридическим лицам за исключением займов с просроченной задолженностью по основному долгу и (или) начисленному вознаграждению;</w:t>
      </w:r>
      <w:r>
        <w:br/>
      </w:r>
      <w:r>
        <w:rPr>
          <w:rFonts w:ascii="Times New Roman"/>
          <w:b w:val="false"/>
          <w:i w:val="false"/>
          <w:color w:val="000000"/>
          <w:sz w:val="28"/>
        </w:rPr>
        <w:t>
      производные финансовые инструменты;</w:t>
      </w:r>
      <w:r>
        <w:br/>
      </w:r>
      <w:r>
        <w:rPr>
          <w:rFonts w:ascii="Times New Roman"/>
          <w:b w:val="false"/>
          <w:i w:val="false"/>
          <w:color w:val="000000"/>
          <w:sz w:val="28"/>
        </w:rPr>
        <w:t>
      иные денежные притоки.</w:t>
      </w:r>
      <w:r>
        <w:br/>
      </w:r>
      <w:r>
        <w:rPr>
          <w:rFonts w:ascii="Times New Roman"/>
          <w:b w:val="false"/>
          <w:i w:val="false"/>
          <w:color w:val="000000"/>
          <w:sz w:val="28"/>
        </w:rPr>
        <w:t>
      Поступления по высококачественным ликвидным активам не учитываются при расчете денежного притока.</w:t>
      </w:r>
      <w:r>
        <w:br/>
      </w:r>
      <w:r>
        <w:rPr>
          <w:rFonts w:ascii="Times New Roman"/>
          <w:b w:val="false"/>
          <w:i w:val="false"/>
          <w:color w:val="000000"/>
          <w:sz w:val="28"/>
        </w:rPr>
        <w:t>
      Денежный приток по обеспеченным заемным операциям, включает заемные операции, со сроком погашения менее 30 (тридцати) календарных дней с даты расчета коэффициента покрытия ликвидности, обеспеченные высококачественными ликвидными активами первого и второго уровней, и иными активами, не являющимися высококачественными ликвидными активами первого и второго уровней, а также займы, предоставленные для совершения купли-продажи ценных бумаг под обеспечение (маржинальные сделки).</w:t>
      </w:r>
      <w:r>
        <w:br/>
      </w:r>
      <w:r>
        <w:rPr>
          <w:rFonts w:ascii="Times New Roman"/>
          <w:b w:val="false"/>
          <w:i w:val="false"/>
          <w:color w:val="000000"/>
          <w:sz w:val="28"/>
        </w:rPr>
        <w:t>
      45-9. С 1 июля 2016 года по 30 июня 2017 года коэффициент покрытия ликвидности рассчитывается банками с целью оценки риска ликвидности. Расчет коэффициента покрытия ликвидности производится на ежедневной основе с предоставлением результатов расчетов уполномоченному органу на ежемесячной основе. Минимальное значение коэффициента покрытия ликвидности устанавливается в размере:</w:t>
      </w:r>
      <w:r>
        <w:br/>
      </w:r>
      <w:r>
        <w:rPr>
          <w:rFonts w:ascii="Times New Roman"/>
          <w:b w:val="false"/>
          <w:i w:val="false"/>
          <w:color w:val="000000"/>
          <w:sz w:val="28"/>
        </w:rPr>
        <w:t>
      с 1 июля 2017 года по 30 июня 2018 года - 0,6;</w:t>
      </w:r>
      <w:r>
        <w:br/>
      </w:r>
      <w:r>
        <w:rPr>
          <w:rFonts w:ascii="Times New Roman"/>
          <w:b w:val="false"/>
          <w:i w:val="false"/>
          <w:color w:val="000000"/>
          <w:sz w:val="28"/>
        </w:rPr>
        <w:t>
      с 1 июля 2018 года по 30 июня 2019 года - 0,7;</w:t>
      </w:r>
      <w:r>
        <w:br/>
      </w:r>
      <w:r>
        <w:rPr>
          <w:rFonts w:ascii="Times New Roman"/>
          <w:b w:val="false"/>
          <w:i w:val="false"/>
          <w:color w:val="000000"/>
          <w:sz w:val="28"/>
        </w:rPr>
        <w:t>
      с 1 июля 2019 года по 30 июня 2020 года - 0,8;</w:t>
      </w:r>
      <w:r>
        <w:br/>
      </w:r>
      <w:r>
        <w:rPr>
          <w:rFonts w:ascii="Times New Roman"/>
          <w:b w:val="false"/>
          <w:i w:val="false"/>
          <w:color w:val="000000"/>
          <w:sz w:val="28"/>
        </w:rPr>
        <w:t>
      с 1 июля 2020 года по 30 июня 2021 года - 0,9;</w:t>
      </w:r>
      <w:r>
        <w:br/>
      </w:r>
      <w:r>
        <w:rPr>
          <w:rFonts w:ascii="Times New Roman"/>
          <w:b w:val="false"/>
          <w:i w:val="false"/>
          <w:color w:val="000000"/>
          <w:sz w:val="28"/>
        </w:rPr>
        <w:t>
      с 1 июля 2021 года – 1,0.</w:t>
      </w:r>
      <w:r>
        <w:br/>
      </w:r>
      <w:r>
        <w:rPr>
          <w:rFonts w:ascii="Times New Roman"/>
          <w:b w:val="false"/>
          <w:i w:val="false"/>
          <w:color w:val="000000"/>
          <w:sz w:val="28"/>
        </w:rPr>
        <w:t>
      45-10. Коэффициент нетто стабильного фондирования рассчитывается как отношение доступного стабильного фондирования к требуемому стабильному фондированию.</w:t>
      </w:r>
      <w:r>
        <w:br/>
      </w:r>
      <w:r>
        <w:rPr>
          <w:rFonts w:ascii="Times New Roman"/>
          <w:b w:val="false"/>
          <w:i w:val="false"/>
          <w:color w:val="000000"/>
          <w:sz w:val="28"/>
        </w:rPr>
        <w:t>
      Размер доступного стабильного фондирования рассчитывается как обязательства, согласно данным бухгалтерского баланса, и собственный капитал, до вычета инвестиций, указанных в пункте 4-1 Инструкции, умноженные на коэффициенты доступного стабильного фондирования, установленные в Таблице обязательств доступного стабильного фондирования в соответствии с приложением 16 к Инструкции.</w:t>
      </w:r>
      <w:r>
        <w:br/>
      </w:r>
      <w:r>
        <w:rPr>
          <w:rFonts w:ascii="Times New Roman"/>
          <w:b w:val="false"/>
          <w:i w:val="false"/>
          <w:color w:val="000000"/>
          <w:sz w:val="28"/>
        </w:rPr>
        <w:t>
      Размер требуемого стабильного фондирования рассчитывается в совокупности как активы, согласно данным бухгалтерского баланса, умноженные на коэффициенты требуемого стабильного фондирования, установленные в Таблице активов требуемого стабильного фондирования в соответствии с приложением 17 к Инструкции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Таблице условных и возможных обязательств требуемого стабильного фондирования в соответствии с приложением 18 к Инструкции.</w:t>
      </w:r>
      <w:r>
        <w:br/>
      </w:r>
      <w:r>
        <w:rPr>
          <w:rFonts w:ascii="Times New Roman"/>
          <w:b w:val="false"/>
          <w:i w:val="false"/>
          <w:color w:val="000000"/>
          <w:sz w:val="28"/>
        </w:rPr>
        <w:t>
      45-11. Минимальное значение коэффициента нетто стабильного фондирования с 1 января 2018 года устанавливается в размере 1,0.»;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«48. Настоящей Инструкцией устанавливаются следующие лимиты открытой валютной позиции:</w:t>
      </w:r>
      <w:r>
        <w:br/>
      </w: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(двенадцать целых пять десятых) процента величины собственного капитала банка;</w:t>
      </w:r>
      <w:r>
        <w:br/>
      </w: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в размере, не превышающем 5 (пяти) процентов величины собственного капитала банка;</w:t>
      </w:r>
      <w:r>
        <w:br/>
      </w:r>
      <w:r>
        <w:rPr>
          <w:rFonts w:ascii="Times New Roman"/>
          <w:b w:val="false"/>
          <w:i w:val="false"/>
          <w:color w:val="000000"/>
          <w:sz w:val="28"/>
        </w:rPr>
        <w:t>
      3) лимит валютной нетто-позиции в размере, не превышающем 25 (двадцать пять) процентов величины собственного капитала банка.</w:t>
      </w:r>
      <w:r>
        <w:br/>
      </w:r>
      <w:r>
        <w:rPr>
          <w:rFonts w:ascii="Times New Roman"/>
          <w:b w:val="false"/>
          <w:i w:val="false"/>
          <w:color w:val="000000"/>
          <w:sz w:val="28"/>
        </w:rPr>
        <w:t>
      Требования Инструкции по соблюдению лимитов открытой валютной позиции не распространяются на банки, осуществляющие (осуществившие)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а также на банки, соответствующие критериям системообразующего банка, если одобренным уполномоченным органом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лимитов открытой валютной позиции и срок, в течение которого действуют значения лимитов открытой валютной позиции.»;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14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15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16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17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18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30.05.2016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Департаменту методологии финансового рынка (Абдрахманов Н.А.) в установленном законодательством Республики Казахстан порядке обеспечить:</w:t>
      </w:r>
      <w:r>
        <w:br/>
      </w: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r>
        <w:br/>
      </w: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r>
        <w:br/>
      </w: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Строка, порядковый номер 39, приложения 1 к настоящему постановлению действует до 1 июля 2016 года.</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Д. Акишев</w:t>
      </w:r>
    </w:p>
    <w:bookmarkStart w:name="z1"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2016 года № 67 </w:t>
      </w:r>
    </w:p>
    <w:bookmarkEnd w:id="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значениях и методике расчетов</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val="false"/>
          <w:i w:val="false"/>
          <w:color w:val="000000"/>
          <w:sz w:val="28"/>
        </w:rPr>
        <w:t>                      </w:t>
      </w:r>
      <w:r>
        <w:rPr>
          <w:rFonts w:ascii="Times New Roman"/>
          <w:b/>
          <w:i w:val="false"/>
          <w:color w:val="000000"/>
          <w:sz w:val="28"/>
        </w:rPr>
        <w:t>Таблица активов банка,</w:t>
      </w:r>
      <w:r>
        <w:br/>
      </w:r>
      <w:r>
        <w:rPr>
          <w:rFonts w:ascii="Times New Roman"/>
          <w:b w:val="false"/>
          <w:i w:val="false"/>
          <w:color w:val="000000"/>
          <w:sz w:val="28"/>
        </w:rPr>
        <w:t>
</w:t>
      </w:r>
      <w:r>
        <w:rPr>
          <w:rFonts w:ascii="Times New Roman"/>
          <w:b/>
          <w:i w:val="false"/>
          <w:color w:val="000000"/>
          <w:sz w:val="28"/>
        </w:rPr>
        <w:t>           взвешенных по степени кредитного риска вложений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0714"/>
        <w:gridCol w:w="242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Наличные тенге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Правительству Республики Казахстан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Национальному Банку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акционерному обществу «Фонд национального благосостояния «Самрук-Казына»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 и иные требования к Национальному Банку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Правительства Республики Казахстан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местных органов власти Республики Казахстан по налогам и другим платежам в бюджет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 Республики Казахстан, выпущенные Правительством Республики Казахстан и Национальным Банком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акционерными обществами «Фонд национального благосостояния «Самрук-Казына», «Национальный управляющий холдинг «Байтерек», «Фонд проблемных кредитов»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 І группу риска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Республики Казахстан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местных органов власти Республики Казахстан, за исключением дебиторской задолженности, отнесенной к І группе риска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Республики Казахстан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акционерным обществом «Казахстанская ипотечная компания»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во II группу риска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Неаффинированные драгоценные металлы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ипотечные жилищные займы (за исключением, займов, выданных физическим лицам, указанных в строках 72, 74, 75 и 76 настоящей таблицы)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r>
              <w:br/>
            </w:r>
            <w:r>
              <w:rPr>
                <w:rFonts w:ascii="Times New Roman"/>
                <w:b w:val="false"/>
                <w:i w:val="false"/>
                <w:color w:val="000000"/>
                <w:sz w:val="20"/>
              </w:rPr>
              <w:t>
</w:t>
            </w:r>
            <w:r>
              <w:rPr>
                <w:rFonts w:ascii="Times New Roman"/>
                <w:b w:val="false"/>
                <w:i w:val="false"/>
                <w:color w:val="000000"/>
                <w:sz w:val="20"/>
              </w:rPr>
              <w:t>1) сумма займа не превышает 0,02 (ноль целых две сотых) процента от собственного капитала;</w:t>
            </w:r>
            <w:r>
              <w:br/>
            </w:r>
            <w:r>
              <w:rPr>
                <w:rFonts w:ascii="Times New Roman"/>
                <w:b w:val="false"/>
                <w:i w:val="false"/>
                <w:color w:val="000000"/>
                <w:sz w:val="20"/>
              </w:rPr>
              <w:t>
</w:t>
            </w:r>
            <w:r>
              <w:rPr>
                <w:rFonts w:ascii="Times New Roman"/>
                <w:b w:val="false"/>
                <w:i w:val="false"/>
                <w:color w:val="000000"/>
                <w:sz w:val="20"/>
              </w:rPr>
              <w:t xml:space="preserve">2) валюта займа – тенге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акционерному обществу «Казахстанская фондовая биржа»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 III группу риска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физическим лицам до 1 января 2016 года, в том числе потребительские кредиты, за исключением отнесенных к III группе риска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 с 1 января 2016 года и предоставленные на срок более 1 (одного)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3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r>
              <w:br/>
            </w:r>
            <w:r>
              <w:rPr>
                <w:rFonts w:ascii="Times New Roman"/>
                <w:b w:val="false"/>
                <w:i w:val="false"/>
                <w:color w:val="000000"/>
                <w:sz w:val="20"/>
              </w:rPr>
              <w:t>
</w:t>
            </w:r>
            <w:r>
              <w:rPr>
                <w:rFonts w:ascii="Times New Roman"/>
                <w:b w:val="false"/>
                <w:i w:val="false"/>
                <w:color w:val="000000"/>
                <w:sz w:val="20"/>
              </w:rPr>
              <w:t>с 1 января 2016 года по 31 декабря 2016 года при выдаче займа:</w:t>
            </w:r>
            <w:r>
              <w:br/>
            </w: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r>
              <w:br/>
            </w: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br/>
            </w:r>
            <w:r>
              <w:rPr>
                <w:rFonts w:ascii="Times New Roman"/>
                <w:b w:val="false"/>
                <w:i w:val="false"/>
                <w:color w:val="000000"/>
                <w:sz w:val="20"/>
              </w:rPr>
              <w:t>
</w:t>
            </w:r>
            <w:r>
              <w:rPr>
                <w:rFonts w:ascii="Times New Roman"/>
                <w:b w:val="false"/>
                <w:i w:val="false"/>
                <w:color w:val="000000"/>
                <w:sz w:val="20"/>
              </w:rPr>
              <w:t>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r>
              <w:br/>
            </w:r>
            <w:r>
              <w:rPr>
                <w:rFonts w:ascii="Times New Roman"/>
                <w:b w:val="false"/>
                <w:i w:val="false"/>
                <w:color w:val="000000"/>
                <w:sz w:val="20"/>
              </w:rPr>
              <w:t>
</w:t>
            </w:r>
            <w:r>
              <w:rPr>
                <w:rFonts w:ascii="Times New Roman"/>
                <w:b w:val="false"/>
                <w:i w:val="false"/>
                <w:color w:val="000000"/>
                <w:sz w:val="20"/>
              </w:rPr>
              <w:t>с 1 января 2017 года ежемесячно при мониторинге займов:</w:t>
            </w:r>
            <w:r>
              <w:br/>
            </w: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превышает 0,35, рассчитанного в соответствии с </w:t>
            </w:r>
            <w:r>
              <w:rPr>
                <w:rFonts w:ascii="Times New Roman"/>
                <w:b w:val="false"/>
                <w:i w:val="false"/>
                <w:color w:val="000000"/>
                <w:sz w:val="20"/>
              </w:rPr>
              <w:t>постановлением № 292</w:t>
            </w:r>
            <w:r>
              <w:rPr>
                <w:rFonts w:ascii="Times New Roman"/>
                <w:b w:val="false"/>
                <w:i w:val="false"/>
                <w:color w:val="000000"/>
                <w:sz w:val="20"/>
              </w:rPr>
              <w:t xml:space="preserve">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w:t>
            </w:r>
            <w:r>
              <w:br/>
            </w: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br/>
            </w: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r>
              <w:br/>
            </w:r>
            <w:r>
              <w:rPr>
                <w:rFonts w:ascii="Times New Roman"/>
                <w:b w:val="false"/>
                <w:i w:val="false"/>
                <w:color w:val="000000"/>
                <w:sz w:val="20"/>
              </w:rPr>
              <w:t>
</w:t>
            </w:r>
            <w:r>
              <w:rPr>
                <w:rFonts w:ascii="Times New Roman"/>
                <w:b w:val="false"/>
                <w:i w:val="false"/>
                <w:color w:val="000000"/>
                <w:sz w:val="20"/>
              </w:rPr>
              <w:t>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72, 74 и 75 настоящей таблицы)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физических лиц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специальной финансовой компанией акционерного общества «Фонд стрессовых активов»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 IV группу риска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 платежам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запасы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суммы вознаграждения и расходов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банка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(пятнадцати) процентов основного капитала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Государство Антигуа и Барбуда;</w:t>
            </w:r>
            <w:r>
              <w:br/>
            </w:r>
            <w:r>
              <w:rPr>
                <w:rFonts w:ascii="Times New Roman"/>
                <w:b w:val="false"/>
                <w:i w:val="false"/>
                <w:color w:val="000000"/>
                <w:sz w:val="20"/>
              </w:rPr>
              <w:t>
</w:t>
            </w:r>
            <w:r>
              <w:rPr>
                <w:rFonts w:ascii="Times New Roman"/>
                <w:b w:val="false"/>
                <w:i w:val="false"/>
                <w:color w:val="000000"/>
                <w:sz w:val="20"/>
              </w:rPr>
              <w:t>3)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4) Государство Барбадос;</w:t>
            </w:r>
            <w:r>
              <w:br/>
            </w:r>
            <w:r>
              <w:rPr>
                <w:rFonts w:ascii="Times New Roman"/>
                <w:b w:val="false"/>
                <w:i w:val="false"/>
                <w:color w:val="000000"/>
                <w:sz w:val="20"/>
              </w:rPr>
              <w:t>
</w:t>
            </w:r>
            <w:r>
              <w:rPr>
                <w:rFonts w:ascii="Times New Roman"/>
                <w:b w:val="false"/>
                <w:i w:val="false"/>
                <w:color w:val="000000"/>
                <w:sz w:val="20"/>
              </w:rPr>
              <w:t>5) Государство Бахрейн;</w:t>
            </w:r>
            <w:r>
              <w:br/>
            </w:r>
            <w:r>
              <w:rPr>
                <w:rFonts w:ascii="Times New Roman"/>
                <w:b w:val="false"/>
                <w:i w:val="false"/>
                <w:color w:val="000000"/>
                <w:sz w:val="20"/>
              </w:rPr>
              <w:t>
</w:t>
            </w:r>
            <w:r>
              <w:rPr>
                <w:rFonts w:ascii="Times New Roman"/>
                <w:b w:val="false"/>
                <w:i w:val="false"/>
                <w:color w:val="000000"/>
                <w:sz w:val="20"/>
              </w:rPr>
              <w:t>6) Государство Белиз;</w:t>
            </w:r>
            <w:r>
              <w:br/>
            </w:r>
            <w:r>
              <w:rPr>
                <w:rFonts w:ascii="Times New Roman"/>
                <w:b w:val="false"/>
                <w:i w:val="false"/>
                <w:color w:val="000000"/>
                <w:sz w:val="20"/>
              </w:rPr>
              <w:t>
</w:t>
            </w:r>
            <w:r>
              <w:rPr>
                <w:rFonts w:ascii="Times New Roman"/>
                <w:b w:val="false"/>
                <w:i w:val="false"/>
                <w:color w:val="000000"/>
                <w:sz w:val="20"/>
              </w:rPr>
              <w:t>7)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8) Республика Вануату;</w:t>
            </w:r>
            <w:r>
              <w:br/>
            </w:r>
            <w:r>
              <w:rPr>
                <w:rFonts w:ascii="Times New Roman"/>
                <w:b w:val="false"/>
                <w:i w:val="false"/>
                <w:color w:val="000000"/>
                <w:sz w:val="20"/>
              </w:rPr>
              <w:t>
</w:t>
            </w:r>
            <w:r>
              <w:rPr>
                <w:rFonts w:ascii="Times New Roman"/>
                <w:b w:val="false"/>
                <w:i w:val="false"/>
                <w:color w:val="000000"/>
                <w:sz w:val="20"/>
              </w:rPr>
              <w:t>9) Республика Гватемала;</w:t>
            </w:r>
            <w:r>
              <w:br/>
            </w:r>
            <w:r>
              <w:rPr>
                <w:rFonts w:ascii="Times New Roman"/>
                <w:b w:val="false"/>
                <w:i w:val="false"/>
                <w:color w:val="000000"/>
                <w:sz w:val="20"/>
              </w:rPr>
              <w:t>
</w:t>
            </w:r>
            <w:r>
              <w:rPr>
                <w:rFonts w:ascii="Times New Roman"/>
                <w:b w:val="false"/>
                <w:i w:val="false"/>
                <w:color w:val="000000"/>
                <w:sz w:val="20"/>
              </w:rPr>
              <w:t>10) Государство Гренада;</w:t>
            </w:r>
            <w:r>
              <w:br/>
            </w:r>
            <w:r>
              <w:rPr>
                <w:rFonts w:ascii="Times New Roman"/>
                <w:b w:val="false"/>
                <w:i w:val="false"/>
                <w:color w:val="000000"/>
                <w:sz w:val="20"/>
              </w:rPr>
              <w:t>
</w:t>
            </w:r>
            <w:r>
              <w:rPr>
                <w:rFonts w:ascii="Times New Roman"/>
                <w:b w:val="false"/>
                <w:i w:val="false"/>
                <w:color w:val="000000"/>
                <w:sz w:val="20"/>
              </w:rPr>
              <w:t>11) Республика Джибути;</w:t>
            </w:r>
            <w:r>
              <w:br/>
            </w:r>
            <w:r>
              <w:rPr>
                <w:rFonts w:ascii="Times New Roman"/>
                <w:b w:val="false"/>
                <w:i w:val="false"/>
                <w:color w:val="000000"/>
                <w:sz w:val="20"/>
              </w:rPr>
              <w:t>
</w:t>
            </w:r>
            <w:r>
              <w:rPr>
                <w:rFonts w:ascii="Times New Roman"/>
                <w:b w:val="false"/>
                <w:i w:val="false"/>
                <w:color w:val="000000"/>
                <w:sz w:val="20"/>
              </w:rPr>
              <w:t>12) Доминиканская Республика;</w:t>
            </w:r>
            <w:r>
              <w:br/>
            </w:r>
            <w:r>
              <w:rPr>
                <w:rFonts w:ascii="Times New Roman"/>
                <w:b w:val="false"/>
                <w:i w:val="false"/>
                <w:color w:val="000000"/>
                <w:sz w:val="20"/>
              </w:rPr>
              <w:t>
</w:t>
            </w:r>
            <w:r>
              <w:rPr>
                <w:rFonts w:ascii="Times New Roman"/>
                <w:b w:val="false"/>
                <w:i w:val="false"/>
                <w:color w:val="000000"/>
                <w:sz w:val="20"/>
              </w:rPr>
              <w:t>13) Республика Индонезия;</w:t>
            </w:r>
            <w:r>
              <w:br/>
            </w: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15) Республика Кипр;</w:t>
            </w:r>
            <w:r>
              <w:br/>
            </w: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18) Республика Коста-Рика;</w:t>
            </w:r>
            <w:r>
              <w:br/>
            </w: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20) Республика Либерия;</w:t>
            </w:r>
            <w:r>
              <w:br/>
            </w:r>
            <w:r>
              <w:rPr>
                <w:rFonts w:ascii="Times New Roman"/>
                <w:b w:val="false"/>
                <w:i w:val="false"/>
                <w:color w:val="000000"/>
                <w:sz w:val="20"/>
              </w:rPr>
              <w:t>
</w:t>
            </w:r>
            <w:r>
              <w:rPr>
                <w:rFonts w:ascii="Times New Roman"/>
                <w:b w:val="false"/>
                <w:i w:val="false"/>
                <w:color w:val="000000"/>
                <w:sz w:val="20"/>
              </w:rPr>
              <w:t>21) Княжество Лихтенштейн;</w:t>
            </w:r>
            <w:r>
              <w:br/>
            </w:r>
            <w:r>
              <w:rPr>
                <w:rFonts w:ascii="Times New Roman"/>
                <w:b w:val="false"/>
                <w:i w:val="false"/>
                <w:color w:val="000000"/>
                <w:sz w:val="20"/>
              </w:rPr>
              <w:t>
</w:t>
            </w:r>
            <w:r>
              <w:rPr>
                <w:rFonts w:ascii="Times New Roman"/>
                <w:b w:val="false"/>
                <w:i w:val="false"/>
                <w:color w:val="000000"/>
                <w:sz w:val="20"/>
              </w:rPr>
              <w:t>22) Республика Маврикий;</w:t>
            </w:r>
            <w:r>
              <w:br/>
            </w: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24) Мальдивская Республика;</w:t>
            </w:r>
            <w:r>
              <w:br/>
            </w:r>
            <w:r>
              <w:rPr>
                <w:rFonts w:ascii="Times New Roman"/>
                <w:b w:val="false"/>
                <w:i w:val="false"/>
                <w:color w:val="000000"/>
                <w:sz w:val="20"/>
              </w:rPr>
              <w:t>
</w:t>
            </w:r>
            <w:r>
              <w:rPr>
                <w:rFonts w:ascii="Times New Roman"/>
                <w:b w:val="false"/>
                <w:i w:val="false"/>
                <w:color w:val="000000"/>
                <w:sz w:val="20"/>
              </w:rPr>
              <w:t>25) Республика Мальта;</w:t>
            </w:r>
            <w:r>
              <w:br/>
            </w:r>
            <w:r>
              <w:rPr>
                <w:rFonts w:ascii="Times New Roman"/>
                <w:b w:val="false"/>
                <w:i w:val="false"/>
                <w:color w:val="000000"/>
                <w:sz w:val="20"/>
              </w:rPr>
              <w:t>
</w:t>
            </w:r>
            <w:r>
              <w:rPr>
                <w:rFonts w:ascii="Times New Roman"/>
                <w:b w:val="false"/>
                <w:i w:val="false"/>
                <w:color w:val="000000"/>
                <w:sz w:val="20"/>
              </w:rPr>
              <w:t>26)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27) Княжество Монако;</w:t>
            </w:r>
            <w:r>
              <w:br/>
            </w:r>
            <w:r>
              <w:rPr>
                <w:rFonts w:ascii="Times New Roman"/>
                <w:b w:val="false"/>
                <w:i w:val="false"/>
                <w:color w:val="000000"/>
                <w:sz w:val="20"/>
              </w:rPr>
              <w:t>
</w:t>
            </w:r>
            <w:r>
              <w:rPr>
                <w:rFonts w:ascii="Times New Roman"/>
                <w:b w:val="false"/>
                <w:i w:val="false"/>
                <w:color w:val="000000"/>
                <w:sz w:val="20"/>
              </w:rPr>
              <w:t>28) Союз Мьянма;</w:t>
            </w:r>
            <w:r>
              <w:br/>
            </w:r>
            <w:r>
              <w:rPr>
                <w:rFonts w:ascii="Times New Roman"/>
                <w:b w:val="false"/>
                <w:i w:val="false"/>
                <w:color w:val="000000"/>
                <w:sz w:val="20"/>
              </w:rPr>
              <w:t>
</w:t>
            </w:r>
            <w:r>
              <w:rPr>
                <w:rFonts w:ascii="Times New Roman"/>
                <w:b w:val="false"/>
                <w:i w:val="false"/>
                <w:color w:val="000000"/>
                <w:sz w:val="20"/>
              </w:rPr>
              <w:t>29) Республика Науру;</w:t>
            </w:r>
            <w:r>
              <w:br/>
            </w: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31)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37)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39) Федерация Сент-Китс и Невис;</w:t>
            </w:r>
            <w:r>
              <w:br/>
            </w:r>
            <w:r>
              <w:rPr>
                <w:rFonts w:ascii="Times New Roman"/>
                <w:b w:val="false"/>
                <w:i w:val="false"/>
                <w:color w:val="000000"/>
                <w:sz w:val="20"/>
              </w:rPr>
              <w:t>
</w:t>
            </w:r>
            <w:r>
              <w:rPr>
                <w:rFonts w:ascii="Times New Roman"/>
                <w:b w:val="false"/>
                <w:i w:val="false"/>
                <w:color w:val="000000"/>
                <w:sz w:val="20"/>
              </w:rPr>
              <w:t>40) Государство Сент-Люсия;</w:t>
            </w:r>
            <w:r>
              <w:br/>
            </w: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43) Королевство Тонга;</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w:t>
            </w:r>
            <w:r>
              <w:rPr>
                <w:rFonts w:ascii="Times New Roman"/>
                <w:b w:val="false"/>
                <w:i w:val="false"/>
                <w:color w:val="000000"/>
                <w:sz w:val="20"/>
              </w:rPr>
              <w:t>45) Демократическая Республика Шри-Ланка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организациях-нерезидентах Республики Казахстан, зарегистрированных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Государство Антигуа и Барбуда;</w:t>
            </w:r>
            <w:r>
              <w:br/>
            </w:r>
            <w:r>
              <w:rPr>
                <w:rFonts w:ascii="Times New Roman"/>
                <w:b w:val="false"/>
                <w:i w:val="false"/>
                <w:color w:val="000000"/>
                <w:sz w:val="20"/>
              </w:rPr>
              <w:t>
</w:t>
            </w:r>
            <w:r>
              <w:rPr>
                <w:rFonts w:ascii="Times New Roman"/>
                <w:b w:val="false"/>
                <w:i w:val="false"/>
                <w:color w:val="000000"/>
                <w:sz w:val="20"/>
              </w:rPr>
              <w:t>3)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4) Государство Барбадос;</w:t>
            </w:r>
            <w:r>
              <w:br/>
            </w:r>
            <w:r>
              <w:rPr>
                <w:rFonts w:ascii="Times New Roman"/>
                <w:b w:val="false"/>
                <w:i w:val="false"/>
                <w:color w:val="000000"/>
                <w:sz w:val="20"/>
              </w:rPr>
              <w:t>
</w:t>
            </w:r>
            <w:r>
              <w:rPr>
                <w:rFonts w:ascii="Times New Roman"/>
                <w:b w:val="false"/>
                <w:i w:val="false"/>
                <w:color w:val="000000"/>
                <w:sz w:val="20"/>
              </w:rPr>
              <w:t>5) Государство Бахрейн;</w:t>
            </w:r>
            <w:r>
              <w:br/>
            </w:r>
            <w:r>
              <w:rPr>
                <w:rFonts w:ascii="Times New Roman"/>
                <w:b w:val="false"/>
                <w:i w:val="false"/>
                <w:color w:val="000000"/>
                <w:sz w:val="20"/>
              </w:rPr>
              <w:t>
</w:t>
            </w:r>
            <w:r>
              <w:rPr>
                <w:rFonts w:ascii="Times New Roman"/>
                <w:b w:val="false"/>
                <w:i w:val="false"/>
                <w:color w:val="000000"/>
                <w:sz w:val="20"/>
              </w:rPr>
              <w:t>6) Государство Белиз;</w:t>
            </w:r>
            <w:r>
              <w:br/>
            </w:r>
            <w:r>
              <w:rPr>
                <w:rFonts w:ascii="Times New Roman"/>
                <w:b w:val="false"/>
                <w:i w:val="false"/>
                <w:color w:val="000000"/>
                <w:sz w:val="20"/>
              </w:rPr>
              <w:t>
</w:t>
            </w:r>
            <w:r>
              <w:rPr>
                <w:rFonts w:ascii="Times New Roman"/>
                <w:b w:val="false"/>
                <w:i w:val="false"/>
                <w:color w:val="000000"/>
                <w:sz w:val="20"/>
              </w:rPr>
              <w:t>7)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8) Республика Вануату;</w:t>
            </w:r>
            <w:r>
              <w:br/>
            </w:r>
            <w:r>
              <w:rPr>
                <w:rFonts w:ascii="Times New Roman"/>
                <w:b w:val="false"/>
                <w:i w:val="false"/>
                <w:color w:val="000000"/>
                <w:sz w:val="20"/>
              </w:rPr>
              <w:t>
</w:t>
            </w:r>
            <w:r>
              <w:rPr>
                <w:rFonts w:ascii="Times New Roman"/>
                <w:b w:val="false"/>
                <w:i w:val="false"/>
                <w:color w:val="000000"/>
                <w:sz w:val="20"/>
              </w:rPr>
              <w:t>9) Республика Гватемала;</w:t>
            </w:r>
            <w:r>
              <w:br/>
            </w:r>
            <w:r>
              <w:rPr>
                <w:rFonts w:ascii="Times New Roman"/>
                <w:b w:val="false"/>
                <w:i w:val="false"/>
                <w:color w:val="000000"/>
                <w:sz w:val="20"/>
              </w:rPr>
              <w:t>
</w:t>
            </w:r>
            <w:r>
              <w:rPr>
                <w:rFonts w:ascii="Times New Roman"/>
                <w:b w:val="false"/>
                <w:i w:val="false"/>
                <w:color w:val="000000"/>
                <w:sz w:val="20"/>
              </w:rPr>
              <w:t>10) Государство Гренада;</w:t>
            </w:r>
            <w:r>
              <w:br/>
            </w:r>
            <w:r>
              <w:rPr>
                <w:rFonts w:ascii="Times New Roman"/>
                <w:b w:val="false"/>
                <w:i w:val="false"/>
                <w:color w:val="000000"/>
                <w:sz w:val="20"/>
              </w:rPr>
              <w:t>
</w:t>
            </w:r>
            <w:r>
              <w:rPr>
                <w:rFonts w:ascii="Times New Roman"/>
                <w:b w:val="false"/>
                <w:i w:val="false"/>
                <w:color w:val="000000"/>
                <w:sz w:val="20"/>
              </w:rPr>
              <w:t>11) Республика Джибути;</w:t>
            </w:r>
            <w:r>
              <w:br/>
            </w:r>
            <w:r>
              <w:rPr>
                <w:rFonts w:ascii="Times New Roman"/>
                <w:b w:val="false"/>
                <w:i w:val="false"/>
                <w:color w:val="000000"/>
                <w:sz w:val="20"/>
              </w:rPr>
              <w:t>
</w:t>
            </w:r>
            <w:r>
              <w:rPr>
                <w:rFonts w:ascii="Times New Roman"/>
                <w:b w:val="false"/>
                <w:i w:val="false"/>
                <w:color w:val="000000"/>
                <w:sz w:val="20"/>
              </w:rPr>
              <w:t>12) Доминиканская Республика;</w:t>
            </w:r>
            <w:r>
              <w:br/>
            </w:r>
            <w:r>
              <w:rPr>
                <w:rFonts w:ascii="Times New Roman"/>
                <w:b w:val="false"/>
                <w:i w:val="false"/>
                <w:color w:val="000000"/>
                <w:sz w:val="20"/>
              </w:rPr>
              <w:t>
</w:t>
            </w:r>
            <w:r>
              <w:rPr>
                <w:rFonts w:ascii="Times New Roman"/>
                <w:b w:val="false"/>
                <w:i w:val="false"/>
                <w:color w:val="000000"/>
                <w:sz w:val="20"/>
              </w:rPr>
              <w:t>13) Республика Индонезия;</w:t>
            </w:r>
            <w:r>
              <w:br/>
            </w: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15) Республика Кипр;</w:t>
            </w:r>
            <w:r>
              <w:br/>
            </w: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18) Республика Коста-Рика;</w:t>
            </w:r>
            <w:r>
              <w:br/>
            </w: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20) Республика Либерия;</w:t>
            </w:r>
            <w:r>
              <w:br/>
            </w:r>
            <w:r>
              <w:rPr>
                <w:rFonts w:ascii="Times New Roman"/>
                <w:b w:val="false"/>
                <w:i w:val="false"/>
                <w:color w:val="000000"/>
                <w:sz w:val="20"/>
              </w:rPr>
              <w:t>
</w:t>
            </w:r>
            <w:r>
              <w:rPr>
                <w:rFonts w:ascii="Times New Roman"/>
                <w:b w:val="false"/>
                <w:i w:val="false"/>
                <w:color w:val="000000"/>
                <w:sz w:val="20"/>
              </w:rPr>
              <w:t>21) Княжество Лихтенштейн;</w:t>
            </w:r>
            <w:r>
              <w:br/>
            </w:r>
            <w:r>
              <w:rPr>
                <w:rFonts w:ascii="Times New Roman"/>
                <w:b w:val="false"/>
                <w:i w:val="false"/>
                <w:color w:val="000000"/>
                <w:sz w:val="20"/>
              </w:rPr>
              <w:t>
</w:t>
            </w:r>
            <w:r>
              <w:rPr>
                <w:rFonts w:ascii="Times New Roman"/>
                <w:b w:val="false"/>
                <w:i w:val="false"/>
                <w:color w:val="000000"/>
                <w:sz w:val="20"/>
              </w:rPr>
              <w:t>22) Республика Маврикий;</w:t>
            </w:r>
            <w:r>
              <w:br/>
            </w: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24) Мальдивская Республика;</w:t>
            </w:r>
            <w:r>
              <w:br/>
            </w:r>
            <w:r>
              <w:rPr>
                <w:rFonts w:ascii="Times New Roman"/>
                <w:b w:val="false"/>
                <w:i w:val="false"/>
                <w:color w:val="000000"/>
                <w:sz w:val="20"/>
              </w:rPr>
              <w:t>
</w:t>
            </w:r>
            <w:r>
              <w:rPr>
                <w:rFonts w:ascii="Times New Roman"/>
                <w:b w:val="false"/>
                <w:i w:val="false"/>
                <w:color w:val="000000"/>
                <w:sz w:val="20"/>
              </w:rPr>
              <w:t>25) Республика Мальта;</w:t>
            </w:r>
            <w:r>
              <w:br/>
            </w:r>
            <w:r>
              <w:rPr>
                <w:rFonts w:ascii="Times New Roman"/>
                <w:b w:val="false"/>
                <w:i w:val="false"/>
                <w:color w:val="000000"/>
                <w:sz w:val="20"/>
              </w:rPr>
              <w:t>
</w:t>
            </w:r>
            <w:r>
              <w:rPr>
                <w:rFonts w:ascii="Times New Roman"/>
                <w:b w:val="false"/>
                <w:i w:val="false"/>
                <w:color w:val="000000"/>
                <w:sz w:val="20"/>
              </w:rPr>
              <w:t>26)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27) Княжество Монако;</w:t>
            </w:r>
            <w:r>
              <w:br/>
            </w:r>
            <w:r>
              <w:rPr>
                <w:rFonts w:ascii="Times New Roman"/>
                <w:b w:val="false"/>
                <w:i w:val="false"/>
                <w:color w:val="000000"/>
                <w:sz w:val="20"/>
              </w:rPr>
              <w:t>
</w:t>
            </w:r>
            <w:r>
              <w:rPr>
                <w:rFonts w:ascii="Times New Roman"/>
                <w:b w:val="false"/>
                <w:i w:val="false"/>
                <w:color w:val="000000"/>
                <w:sz w:val="20"/>
              </w:rPr>
              <w:t>28) Союз Мьянма;</w:t>
            </w:r>
            <w:r>
              <w:br/>
            </w:r>
            <w:r>
              <w:rPr>
                <w:rFonts w:ascii="Times New Roman"/>
                <w:b w:val="false"/>
                <w:i w:val="false"/>
                <w:color w:val="000000"/>
                <w:sz w:val="20"/>
              </w:rPr>
              <w:t>
</w:t>
            </w:r>
            <w:r>
              <w:rPr>
                <w:rFonts w:ascii="Times New Roman"/>
                <w:b w:val="false"/>
                <w:i w:val="false"/>
                <w:color w:val="000000"/>
                <w:sz w:val="20"/>
              </w:rPr>
              <w:t>29) Республика Науру;</w:t>
            </w:r>
            <w:r>
              <w:br/>
            </w: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31)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37)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39) Федерация Сент-Китс и Невис;</w:t>
            </w:r>
            <w:r>
              <w:br/>
            </w:r>
            <w:r>
              <w:rPr>
                <w:rFonts w:ascii="Times New Roman"/>
                <w:b w:val="false"/>
                <w:i w:val="false"/>
                <w:color w:val="000000"/>
                <w:sz w:val="20"/>
              </w:rPr>
              <w:t>
</w:t>
            </w:r>
            <w:r>
              <w:rPr>
                <w:rFonts w:ascii="Times New Roman"/>
                <w:b w:val="false"/>
                <w:i w:val="false"/>
                <w:color w:val="000000"/>
                <w:sz w:val="20"/>
              </w:rPr>
              <w:t>40) Государство Сент-Люсия;</w:t>
            </w:r>
            <w:r>
              <w:br/>
            </w: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43) Королевство Тонга;</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w:t>
            </w:r>
            <w:r>
              <w:rPr>
                <w:rFonts w:ascii="Times New Roman"/>
                <w:b w:val="false"/>
                <w:i w:val="false"/>
                <w:color w:val="000000"/>
                <w:sz w:val="20"/>
              </w:rPr>
              <w:t>45) Демократическая Республика Шри-Ланка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организаций-нерезидентов Республики Казахстан, зарегистрированных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Государство Антигуа и Барбуда;</w:t>
            </w:r>
            <w:r>
              <w:br/>
            </w:r>
            <w:r>
              <w:rPr>
                <w:rFonts w:ascii="Times New Roman"/>
                <w:b w:val="false"/>
                <w:i w:val="false"/>
                <w:color w:val="000000"/>
                <w:sz w:val="20"/>
              </w:rPr>
              <w:t>
</w:t>
            </w:r>
            <w:r>
              <w:rPr>
                <w:rFonts w:ascii="Times New Roman"/>
                <w:b w:val="false"/>
                <w:i w:val="false"/>
                <w:color w:val="000000"/>
                <w:sz w:val="20"/>
              </w:rPr>
              <w:t>3)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4) Государство Барбадос;</w:t>
            </w:r>
            <w:r>
              <w:br/>
            </w:r>
            <w:r>
              <w:rPr>
                <w:rFonts w:ascii="Times New Roman"/>
                <w:b w:val="false"/>
                <w:i w:val="false"/>
                <w:color w:val="000000"/>
                <w:sz w:val="20"/>
              </w:rPr>
              <w:t>
</w:t>
            </w:r>
            <w:r>
              <w:rPr>
                <w:rFonts w:ascii="Times New Roman"/>
                <w:b w:val="false"/>
                <w:i w:val="false"/>
                <w:color w:val="000000"/>
                <w:sz w:val="20"/>
              </w:rPr>
              <w:t>5) Государство Бахрейн;</w:t>
            </w:r>
            <w:r>
              <w:br/>
            </w:r>
            <w:r>
              <w:rPr>
                <w:rFonts w:ascii="Times New Roman"/>
                <w:b w:val="false"/>
                <w:i w:val="false"/>
                <w:color w:val="000000"/>
                <w:sz w:val="20"/>
              </w:rPr>
              <w:t>
</w:t>
            </w:r>
            <w:r>
              <w:rPr>
                <w:rFonts w:ascii="Times New Roman"/>
                <w:b w:val="false"/>
                <w:i w:val="false"/>
                <w:color w:val="000000"/>
                <w:sz w:val="20"/>
              </w:rPr>
              <w:t>6) Государство Белиз;</w:t>
            </w:r>
            <w:r>
              <w:br/>
            </w:r>
            <w:r>
              <w:rPr>
                <w:rFonts w:ascii="Times New Roman"/>
                <w:b w:val="false"/>
                <w:i w:val="false"/>
                <w:color w:val="000000"/>
                <w:sz w:val="20"/>
              </w:rPr>
              <w:t>
</w:t>
            </w:r>
            <w:r>
              <w:rPr>
                <w:rFonts w:ascii="Times New Roman"/>
                <w:b w:val="false"/>
                <w:i w:val="false"/>
                <w:color w:val="000000"/>
                <w:sz w:val="20"/>
              </w:rPr>
              <w:t>7)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8) Республика Вануату;</w:t>
            </w:r>
            <w:r>
              <w:br/>
            </w:r>
            <w:r>
              <w:rPr>
                <w:rFonts w:ascii="Times New Roman"/>
                <w:b w:val="false"/>
                <w:i w:val="false"/>
                <w:color w:val="000000"/>
                <w:sz w:val="20"/>
              </w:rPr>
              <w:t>
</w:t>
            </w:r>
            <w:r>
              <w:rPr>
                <w:rFonts w:ascii="Times New Roman"/>
                <w:b w:val="false"/>
                <w:i w:val="false"/>
                <w:color w:val="000000"/>
                <w:sz w:val="20"/>
              </w:rPr>
              <w:t>9) Республика Гватемала;</w:t>
            </w:r>
            <w:r>
              <w:br/>
            </w:r>
            <w:r>
              <w:rPr>
                <w:rFonts w:ascii="Times New Roman"/>
                <w:b w:val="false"/>
                <w:i w:val="false"/>
                <w:color w:val="000000"/>
                <w:sz w:val="20"/>
              </w:rPr>
              <w:t>
</w:t>
            </w:r>
            <w:r>
              <w:rPr>
                <w:rFonts w:ascii="Times New Roman"/>
                <w:b w:val="false"/>
                <w:i w:val="false"/>
                <w:color w:val="000000"/>
                <w:sz w:val="20"/>
              </w:rPr>
              <w:t>10) Государство Гренада;</w:t>
            </w:r>
            <w:r>
              <w:br/>
            </w:r>
            <w:r>
              <w:rPr>
                <w:rFonts w:ascii="Times New Roman"/>
                <w:b w:val="false"/>
                <w:i w:val="false"/>
                <w:color w:val="000000"/>
                <w:sz w:val="20"/>
              </w:rPr>
              <w:t>
</w:t>
            </w:r>
            <w:r>
              <w:rPr>
                <w:rFonts w:ascii="Times New Roman"/>
                <w:b w:val="false"/>
                <w:i w:val="false"/>
                <w:color w:val="000000"/>
                <w:sz w:val="20"/>
              </w:rPr>
              <w:t>11) Республика Джибути;</w:t>
            </w:r>
            <w:r>
              <w:br/>
            </w:r>
            <w:r>
              <w:rPr>
                <w:rFonts w:ascii="Times New Roman"/>
                <w:b w:val="false"/>
                <w:i w:val="false"/>
                <w:color w:val="000000"/>
                <w:sz w:val="20"/>
              </w:rPr>
              <w:t>
</w:t>
            </w:r>
            <w:r>
              <w:rPr>
                <w:rFonts w:ascii="Times New Roman"/>
                <w:b w:val="false"/>
                <w:i w:val="false"/>
                <w:color w:val="000000"/>
                <w:sz w:val="20"/>
              </w:rPr>
              <w:t>12) Доминиканская Республика;</w:t>
            </w:r>
            <w:r>
              <w:br/>
            </w:r>
            <w:r>
              <w:rPr>
                <w:rFonts w:ascii="Times New Roman"/>
                <w:b w:val="false"/>
                <w:i w:val="false"/>
                <w:color w:val="000000"/>
                <w:sz w:val="20"/>
              </w:rPr>
              <w:t>
</w:t>
            </w:r>
            <w:r>
              <w:rPr>
                <w:rFonts w:ascii="Times New Roman"/>
                <w:b w:val="false"/>
                <w:i w:val="false"/>
                <w:color w:val="000000"/>
                <w:sz w:val="20"/>
              </w:rPr>
              <w:t>13) Республика Индонезия;</w:t>
            </w:r>
            <w:r>
              <w:br/>
            </w: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15) Республика Кипр;</w:t>
            </w:r>
            <w:r>
              <w:br/>
            </w: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18) Республика Коста-Рика;</w:t>
            </w:r>
            <w:r>
              <w:br/>
            </w: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20) Республика Либерия;</w:t>
            </w:r>
            <w:r>
              <w:br/>
            </w:r>
            <w:r>
              <w:rPr>
                <w:rFonts w:ascii="Times New Roman"/>
                <w:b w:val="false"/>
                <w:i w:val="false"/>
                <w:color w:val="000000"/>
                <w:sz w:val="20"/>
              </w:rPr>
              <w:t>
</w:t>
            </w:r>
            <w:r>
              <w:rPr>
                <w:rFonts w:ascii="Times New Roman"/>
                <w:b w:val="false"/>
                <w:i w:val="false"/>
                <w:color w:val="000000"/>
                <w:sz w:val="20"/>
              </w:rPr>
              <w:t>21) Княжество Лихтенштейн;</w:t>
            </w:r>
            <w:r>
              <w:br/>
            </w:r>
            <w:r>
              <w:rPr>
                <w:rFonts w:ascii="Times New Roman"/>
                <w:b w:val="false"/>
                <w:i w:val="false"/>
                <w:color w:val="000000"/>
                <w:sz w:val="20"/>
              </w:rPr>
              <w:t>
</w:t>
            </w:r>
            <w:r>
              <w:rPr>
                <w:rFonts w:ascii="Times New Roman"/>
                <w:b w:val="false"/>
                <w:i w:val="false"/>
                <w:color w:val="000000"/>
                <w:sz w:val="20"/>
              </w:rPr>
              <w:t>22) Республика Маврикий;</w:t>
            </w:r>
            <w:r>
              <w:br/>
            </w: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24) Мальдивская Республика;</w:t>
            </w:r>
            <w:r>
              <w:br/>
            </w:r>
            <w:r>
              <w:rPr>
                <w:rFonts w:ascii="Times New Roman"/>
                <w:b w:val="false"/>
                <w:i w:val="false"/>
                <w:color w:val="000000"/>
                <w:sz w:val="20"/>
              </w:rPr>
              <w:t>
</w:t>
            </w:r>
            <w:r>
              <w:rPr>
                <w:rFonts w:ascii="Times New Roman"/>
                <w:b w:val="false"/>
                <w:i w:val="false"/>
                <w:color w:val="000000"/>
                <w:sz w:val="20"/>
              </w:rPr>
              <w:t>25) Республика Мальта;</w:t>
            </w:r>
            <w:r>
              <w:br/>
            </w:r>
            <w:r>
              <w:rPr>
                <w:rFonts w:ascii="Times New Roman"/>
                <w:b w:val="false"/>
                <w:i w:val="false"/>
                <w:color w:val="000000"/>
                <w:sz w:val="20"/>
              </w:rPr>
              <w:t>
</w:t>
            </w:r>
            <w:r>
              <w:rPr>
                <w:rFonts w:ascii="Times New Roman"/>
                <w:b w:val="false"/>
                <w:i w:val="false"/>
                <w:color w:val="000000"/>
                <w:sz w:val="20"/>
              </w:rPr>
              <w:t>26)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27) Княжество Монако;</w:t>
            </w:r>
            <w:r>
              <w:br/>
            </w:r>
            <w:r>
              <w:rPr>
                <w:rFonts w:ascii="Times New Roman"/>
                <w:b w:val="false"/>
                <w:i w:val="false"/>
                <w:color w:val="000000"/>
                <w:sz w:val="20"/>
              </w:rPr>
              <w:t>
</w:t>
            </w:r>
            <w:r>
              <w:rPr>
                <w:rFonts w:ascii="Times New Roman"/>
                <w:b w:val="false"/>
                <w:i w:val="false"/>
                <w:color w:val="000000"/>
                <w:sz w:val="20"/>
              </w:rPr>
              <w:t>28) Союз Мьянма;</w:t>
            </w:r>
            <w:r>
              <w:br/>
            </w:r>
            <w:r>
              <w:rPr>
                <w:rFonts w:ascii="Times New Roman"/>
                <w:b w:val="false"/>
                <w:i w:val="false"/>
                <w:color w:val="000000"/>
                <w:sz w:val="20"/>
              </w:rPr>
              <w:t>
</w:t>
            </w:r>
            <w:r>
              <w:rPr>
                <w:rFonts w:ascii="Times New Roman"/>
                <w:b w:val="false"/>
                <w:i w:val="false"/>
                <w:color w:val="000000"/>
                <w:sz w:val="20"/>
              </w:rPr>
              <w:t>29) Республика Науру;</w:t>
            </w:r>
            <w:r>
              <w:br/>
            </w: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31)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37)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39) Федерация Сент-Китс и Невис;</w:t>
            </w:r>
            <w:r>
              <w:br/>
            </w:r>
            <w:r>
              <w:rPr>
                <w:rFonts w:ascii="Times New Roman"/>
                <w:b w:val="false"/>
                <w:i w:val="false"/>
                <w:color w:val="000000"/>
                <w:sz w:val="20"/>
              </w:rPr>
              <w:t>
</w:t>
            </w:r>
            <w:r>
              <w:rPr>
                <w:rFonts w:ascii="Times New Roman"/>
                <w:b w:val="false"/>
                <w:i w:val="false"/>
                <w:color w:val="000000"/>
                <w:sz w:val="20"/>
              </w:rPr>
              <w:t>40) Государство Сент-Люсия;</w:t>
            </w:r>
            <w:r>
              <w:br/>
            </w: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43) Королевство Тонга;</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w:t>
            </w:r>
            <w:r>
              <w:rPr>
                <w:rFonts w:ascii="Times New Roman"/>
                <w:b w:val="false"/>
                <w:i w:val="false"/>
                <w:color w:val="000000"/>
                <w:sz w:val="20"/>
              </w:rPr>
              <w:t>45) Демократическая Республика Шри-Ланка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Государство Антигуа и Барбуда;</w:t>
            </w:r>
            <w:r>
              <w:br/>
            </w:r>
            <w:r>
              <w:rPr>
                <w:rFonts w:ascii="Times New Roman"/>
                <w:b w:val="false"/>
                <w:i w:val="false"/>
                <w:color w:val="000000"/>
                <w:sz w:val="20"/>
              </w:rPr>
              <w:t>
</w:t>
            </w:r>
            <w:r>
              <w:rPr>
                <w:rFonts w:ascii="Times New Roman"/>
                <w:b w:val="false"/>
                <w:i w:val="false"/>
                <w:color w:val="000000"/>
                <w:sz w:val="20"/>
              </w:rPr>
              <w:t>3)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4) Государство Барбадос;</w:t>
            </w:r>
            <w:r>
              <w:br/>
            </w:r>
            <w:r>
              <w:rPr>
                <w:rFonts w:ascii="Times New Roman"/>
                <w:b w:val="false"/>
                <w:i w:val="false"/>
                <w:color w:val="000000"/>
                <w:sz w:val="20"/>
              </w:rPr>
              <w:t>
</w:t>
            </w:r>
            <w:r>
              <w:rPr>
                <w:rFonts w:ascii="Times New Roman"/>
                <w:b w:val="false"/>
                <w:i w:val="false"/>
                <w:color w:val="000000"/>
                <w:sz w:val="20"/>
              </w:rPr>
              <w:t>5) Государство Бахрейн;</w:t>
            </w:r>
            <w:r>
              <w:br/>
            </w:r>
            <w:r>
              <w:rPr>
                <w:rFonts w:ascii="Times New Roman"/>
                <w:b w:val="false"/>
                <w:i w:val="false"/>
                <w:color w:val="000000"/>
                <w:sz w:val="20"/>
              </w:rPr>
              <w:t>
</w:t>
            </w:r>
            <w:r>
              <w:rPr>
                <w:rFonts w:ascii="Times New Roman"/>
                <w:b w:val="false"/>
                <w:i w:val="false"/>
                <w:color w:val="000000"/>
                <w:sz w:val="20"/>
              </w:rPr>
              <w:t>6) Государство Белиз;</w:t>
            </w:r>
            <w:r>
              <w:br/>
            </w:r>
            <w:r>
              <w:rPr>
                <w:rFonts w:ascii="Times New Roman"/>
                <w:b w:val="false"/>
                <w:i w:val="false"/>
                <w:color w:val="000000"/>
                <w:sz w:val="20"/>
              </w:rPr>
              <w:t>
</w:t>
            </w:r>
            <w:r>
              <w:rPr>
                <w:rFonts w:ascii="Times New Roman"/>
                <w:b w:val="false"/>
                <w:i w:val="false"/>
                <w:color w:val="000000"/>
                <w:sz w:val="20"/>
              </w:rPr>
              <w:t>7)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8) Республика Вануату;</w:t>
            </w:r>
            <w:r>
              <w:br/>
            </w:r>
            <w:r>
              <w:rPr>
                <w:rFonts w:ascii="Times New Roman"/>
                <w:b w:val="false"/>
                <w:i w:val="false"/>
                <w:color w:val="000000"/>
                <w:sz w:val="20"/>
              </w:rPr>
              <w:t>
</w:t>
            </w:r>
            <w:r>
              <w:rPr>
                <w:rFonts w:ascii="Times New Roman"/>
                <w:b w:val="false"/>
                <w:i w:val="false"/>
                <w:color w:val="000000"/>
                <w:sz w:val="20"/>
              </w:rPr>
              <w:t>9) Республика Гватемала;</w:t>
            </w:r>
            <w:r>
              <w:br/>
            </w:r>
            <w:r>
              <w:rPr>
                <w:rFonts w:ascii="Times New Roman"/>
                <w:b w:val="false"/>
                <w:i w:val="false"/>
                <w:color w:val="000000"/>
                <w:sz w:val="20"/>
              </w:rPr>
              <w:t>
</w:t>
            </w:r>
            <w:r>
              <w:rPr>
                <w:rFonts w:ascii="Times New Roman"/>
                <w:b w:val="false"/>
                <w:i w:val="false"/>
                <w:color w:val="000000"/>
                <w:sz w:val="20"/>
              </w:rPr>
              <w:t>10) Государство Гренада;</w:t>
            </w:r>
            <w:r>
              <w:br/>
            </w:r>
            <w:r>
              <w:rPr>
                <w:rFonts w:ascii="Times New Roman"/>
                <w:b w:val="false"/>
                <w:i w:val="false"/>
                <w:color w:val="000000"/>
                <w:sz w:val="20"/>
              </w:rPr>
              <w:t>
</w:t>
            </w:r>
            <w:r>
              <w:rPr>
                <w:rFonts w:ascii="Times New Roman"/>
                <w:b w:val="false"/>
                <w:i w:val="false"/>
                <w:color w:val="000000"/>
                <w:sz w:val="20"/>
              </w:rPr>
              <w:t>11) Республика Джибути;</w:t>
            </w:r>
            <w:r>
              <w:br/>
            </w:r>
            <w:r>
              <w:rPr>
                <w:rFonts w:ascii="Times New Roman"/>
                <w:b w:val="false"/>
                <w:i w:val="false"/>
                <w:color w:val="000000"/>
                <w:sz w:val="20"/>
              </w:rPr>
              <w:t>
</w:t>
            </w:r>
            <w:r>
              <w:rPr>
                <w:rFonts w:ascii="Times New Roman"/>
                <w:b w:val="false"/>
                <w:i w:val="false"/>
                <w:color w:val="000000"/>
                <w:sz w:val="20"/>
              </w:rPr>
              <w:t>12) Доминиканская Республика;</w:t>
            </w:r>
            <w:r>
              <w:br/>
            </w:r>
            <w:r>
              <w:rPr>
                <w:rFonts w:ascii="Times New Roman"/>
                <w:b w:val="false"/>
                <w:i w:val="false"/>
                <w:color w:val="000000"/>
                <w:sz w:val="20"/>
              </w:rPr>
              <w:t>
</w:t>
            </w:r>
            <w:r>
              <w:rPr>
                <w:rFonts w:ascii="Times New Roman"/>
                <w:b w:val="false"/>
                <w:i w:val="false"/>
                <w:color w:val="000000"/>
                <w:sz w:val="20"/>
              </w:rPr>
              <w:t>13) Республика Индонезия;</w:t>
            </w:r>
            <w:r>
              <w:br/>
            </w: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15) Республика Кипр;</w:t>
            </w:r>
            <w:r>
              <w:br/>
            </w: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18) Республика Коста-Рика;</w:t>
            </w:r>
            <w:r>
              <w:br/>
            </w: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20) Республика Либерия;</w:t>
            </w:r>
            <w:r>
              <w:br/>
            </w:r>
            <w:r>
              <w:rPr>
                <w:rFonts w:ascii="Times New Roman"/>
                <w:b w:val="false"/>
                <w:i w:val="false"/>
                <w:color w:val="000000"/>
                <w:sz w:val="20"/>
              </w:rPr>
              <w:t>
</w:t>
            </w:r>
            <w:r>
              <w:rPr>
                <w:rFonts w:ascii="Times New Roman"/>
                <w:b w:val="false"/>
                <w:i w:val="false"/>
                <w:color w:val="000000"/>
                <w:sz w:val="20"/>
              </w:rPr>
              <w:t>21) Княжество Лихтенштейн;</w:t>
            </w:r>
            <w:r>
              <w:br/>
            </w:r>
            <w:r>
              <w:rPr>
                <w:rFonts w:ascii="Times New Roman"/>
                <w:b w:val="false"/>
                <w:i w:val="false"/>
                <w:color w:val="000000"/>
                <w:sz w:val="20"/>
              </w:rPr>
              <w:t>
</w:t>
            </w:r>
            <w:r>
              <w:rPr>
                <w:rFonts w:ascii="Times New Roman"/>
                <w:b w:val="false"/>
                <w:i w:val="false"/>
                <w:color w:val="000000"/>
                <w:sz w:val="20"/>
              </w:rPr>
              <w:t>22) Республика Маврикий;</w:t>
            </w:r>
            <w:r>
              <w:br/>
            </w: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24) Мальдивская Республика;</w:t>
            </w:r>
            <w:r>
              <w:br/>
            </w:r>
            <w:r>
              <w:rPr>
                <w:rFonts w:ascii="Times New Roman"/>
                <w:b w:val="false"/>
                <w:i w:val="false"/>
                <w:color w:val="000000"/>
                <w:sz w:val="20"/>
              </w:rPr>
              <w:t>
</w:t>
            </w:r>
            <w:r>
              <w:rPr>
                <w:rFonts w:ascii="Times New Roman"/>
                <w:b w:val="false"/>
                <w:i w:val="false"/>
                <w:color w:val="000000"/>
                <w:sz w:val="20"/>
              </w:rPr>
              <w:t>25) Республика Мальта;</w:t>
            </w:r>
            <w:r>
              <w:br/>
            </w:r>
            <w:r>
              <w:rPr>
                <w:rFonts w:ascii="Times New Roman"/>
                <w:b w:val="false"/>
                <w:i w:val="false"/>
                <w:color w:val="000000"/>
                <w:sz w:val="20"/>
              </w:rPr>
              <w:t>
</w:t>
            </w:r>
            <w:r>
              <w:rPr>
                <w:rFonts w:ascii="Times New Roman"/>
                <w:b w:val="false"/>
                <w:i w:val="false"/>
                <w:color w:val="000000"/>
                <w:sz w:val="20"/>
              </w:rPr>
              <w:t>26)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27) Княжество Монако;</w:t>
            </w:r>
            <w:r>
              <w:br/>
            </w:r>
            <w:r>
              <w:rPr>
                <w:rFonts w:ascii="Times New Roman"/>
                <w:b w:val="false"/>
                <w:i w:val="false"/>
                <w:color w:val="000000"/>
                <w:sz w:val="20"/>
              </w:rPr>
              <w:t>
</w:t>
            </w:r>
            <w:r>
              <w:rPr>
                <w:rFonts w:ascii="Times New Roman"/>
                <w:b w:val="false"/>
                <w:i w:val="false"/>
                <w:color w:val="000000"/>
                <w:sz w:val="20"/>
              </w:rPr>
              <w:t>28) Союз Мьянма;</w:t>
            </w:r>
            <w:r>
              <w:br/>
            </w:r>
            <w:r>
              <w:rPr>
                <w:rFonts w:ascii="Times New Roman"/>
                <w:b w:val="false"/>
                <w:i w:val="false"/>
                <w:color w:val="000000"/>
                <w:sz w:val="20"/>
              </w:rPr>
              <w:t>
</w:t>
            </w:r>
            <w:r>
              <w:rPr>
                <w:rFonts w:ascii="Times New Roman"/>
                <w:b w:val="false"/>
                <w:i w:val="false"/>
                <w:color w:val="000000"/>
                <w:sz w:val="20"/>
              </w:rPr>
              <w:t>29) Республика Науру;</w:t>
            </w:r>
            <w:r>
              <w:br/>
            </w: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31)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37)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39) Федерация Сент-Китс и Невис;</w:t>
            </w:r>
            <w:r>
              <w:br/>
            </w:r>
            <w:r>
              <w:rPr>
                <w:rFonts w:ascii="Times New Roman"/>
                <w:b w:val="false"/>
                <w:i w:val="false"/>
                <w:color w:val="000000"/>
                <w:sz w:val="20"/>
              </w:rPr>
              <w:t>
</w:t>
            </w:r>
            <w:r>
              <w:rPr>
                <w:rFonts w:ascii="Times New Roman"/>
                <w:b w:val="false"/>
                <w:i w:val="false"/>
                <w:color w:val="000000"/>
                <w:sz w:val="20"/>
              </w:rPr>
              <w:t>40) Государство Сент-Люсия;</w:t>
            </w:r>
            <w:r>
              <w:br/>
            </w: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43) Королевство Тонга;</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w:t>
            </w:r>
            <w:r>
              <w:rPr>
                <w:rFonts w:ascii="Times New Roman"/>
                <w:b w:val="false"/>
                <w:i w:val="false"/>
                <w:color w:val="000000"/>
                <w:sz w:val="20"/>
              </w:rPr>
              <w:t>45) Демократическая Республика Шри-Ланка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 V группу риска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Таблице активов банка,   </w:t>
      </w:r>
      <w:r>
        <w:br/>
      </w:r>
      <w:r>
        <w:rPr>
          <w:rFonts w:ascii="Times New Roman"/>
          <w:b w:val="false"/>
          <w:i w:val="false"/>
          <w:color w:val="000000"/>
          <w:sz w:val="28"/>
        </w:rPr>
        <w:t>
взвешенных по степени кредитного</w:t>
      </w:r>
      <w:r>
        <w:br/>
      </w:r>
      <w:r>
        <w:rPr>
          <w:rFonts w:ascii="Times New Roman"/>
          <w:b w:val="false"/>
          <w:i w:val="false"/>
          <w:color w:val="000000"/>
          <w:sz w:val="28"/>
        </w:rPr>
        <w:t xml:space="preserve">
риска вложений         </w:t>
      </w:r>
    </w:p>
    <w:p>
      <w:pPr>
        <w:spacing w:after="0"/>
        <w:ind w:left="0"/>
        <w:jc w:val="left"/>
      </w:pPr>
      <w:r>
        <w:rPr>
          <w:rFonts w:ascii="Times New Roman"/>
          <w:b/>
          <w:i w:val="false"/>
          <w:color w:val="000000"/>
        </w:rPr>
        <w:t xml:space="preserve"> Пояснения к расчету активов банка,</w:t>
      </w:r>
      <w:r>
        <w:br/>
      </w:r>
      <w:r>
        <w:rPr>
          <w:rFonts w:ascii="Times New Roman"/>
          <w:b/>
          <w:i w:val="false"/>
          <w:color w:val="000000"/>
        </w:rPr>
        <w:t>
подлежащих взвешиванию по степени кредитного риска вложений</w:t>
      </w:r>
    </w:p>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1-3, 10-12, 15-18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r>
        <w:br/>
      </w:r>
      <w:r>
        <w:rPr>
          <w:rFonts w:ascii="Times New Roman"/>
          <w:b w:val="false"/>
          <w:i w:val="false"/>
          <w:color w:val="000000"/>
          <w:sz w:val="28"/>
        </w:rPr>
        <w:t>
      Скорректированная стоимость обеспечения (в виде активов, указанных в строках 1-3, 10-12, 15-18 Таблицы) равняется:</w:t>
      </w:r>
      <w:r>
        <w:br/>
      </w: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r>
        <w:br/>
      </w:r>
      <w:r>
        <w:rPr>
          <w:rFonts w:ascii="Times New Roman"/>
          <w:b w:val="false"/>
          <w:i w:val="false"/>
          <w:color w:val="000000"/>
          <w:sz w:val="28"/>
        </w:rPr>
        <w:t>
      95 (девяносто пяти) процентам рыночной стоимости ценных бумаг, переданных в обеспечение;</w:t>
      </w:r>
      <w:r>
        <w:br/>
      </w: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r>
        <w:br/>
      </w: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r>
        <w:br/>
      </w:r>
      <w:r>
        <w:rPr>
          <w:rFonts w:ascii="Times New Roman"/>
          <w:b w:val="false"/>
          <w:i w:val="false"/>
          <w:color w:val="000000"/>
          <w:sz w:val="28"/>
        </w:rPr>
        <w:t>
      2.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инвестиции, не включенных в расчет инвестиций банка) по степени риска должника.</w:t>
      </w:r>
      <w:r>
        <w:br/>
      </w: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r>
        <w:br/>
      </w:r>
      <w:r>
        <w:rPr>
          <w:rFonts w:ascii="Times New Roman"/>
          <w:b w:val="false"/>
          <w:i w:val="false"/>
          <w:color w:val="000000"/>
          <w:sz w:val="28"/>
        </w:rPr>
        <w:t>
      3.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r>
        <w:br/>
      </w:r>
      <w:r>
        <w:rPr>
          <w:rFonts w:ascii="Times New Roman"/>
          <w:b w:val="false"/>
          <w:i w:val="false"/>
          <w:color w:val="000000"/>
          <w:sz w:val="28"/>
        </w:rPr>
        <w:t>
      1) зарегистрированным в качестве юридического лица на территории оффшорных зон;</w:t>
      </w:r>
      <w:r>
        <w:br/>
      </w: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r>
        <w:br/>
      </w:r>
      <w:r>
        <w:rPr>
          <w:rFonts w:ascii="Times New Roman"/>
          <w:b w:val="false"/>
          <w:i w:val="false"/>
          <w:color w:val="000000"/>
          <w:sz w:val="28"/>
        </w:rPr>
        <w:t>
      3) являющимся гражданами оффшорных зон;</w:t>
      </w:r>
      <w:r>
        <w:br/>
      </w: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r>
        <w:br/>
      </w: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r>
        <w:br/>
      </w: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Standard&amp;Poor's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r>
        <w:br/>
      </w: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r>
        <w:br/>
      </w:r>
      <w:r>
        <w:rPr>
          <w:rFonts w:ascii="Times New Roman"/>
          <w:b w:val="false"/>
          <w:i w:val="false"/>
          <w:color w:val="000000"/>
          <w:sz w:val="28"/>
        </w:rPr>
        <w:t>
      взвешиваются по нулевой степени риска.</w:t>
      </w:r>
      <w:r>
        <w:br/>
      </w:r>
      <w:r>
        <w:rPr>
          <w:rFonts w:ascii="Times New Roman"/>
          <w:b w:val="false"/>
          <w:i w:val="false"/>
          <w:color w:val="000000"/>
          <w:sz w:val="28"/>
        </w:rPr>
        <w:t>
      5. Для целей расчета активов банка, взвешенных по степени риска вложений:</w:t>
      </w:r>
      <w:r>
        <w:br/>
      </w: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r>
        <w:br/>
      </w:r>
      <w:r>
        <w:rPr>
          <w:rFonts w:ascii="Times New Roman"/>
          <w:b w:val="false"/>
          <w:i w:val="false"/>
          <w:color w:val="000000"/>
          <w:sz w:val="28"/>
        </w:rPr>
        <w:t>
      под потребительским кредитом понимается кредит, предоставленный физическим лицам на приобретение товаров, работ и услуг, не связанных с осуществлением предпринимательской деятельности.</w:t>
      </w:r>
      <w:r>
        <w:br/>
      </w:r>
      <w:r>
        <w:rPr>
          <w:rFonts w:ascii="Times New Roman"/>
          <w:b w:val="false"/>
          <w:i w:val="false"/>
          <w:color w:val="000000"/>
          <w:sz w:val="28"/>
        </w:rPr>
        <w:t>
      6.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r>
        <w:br/>
      </w:r>
      <w:r>
        <w:rPr>
          <w:rFonts w:ascii="Times New Roman"/>
          <w:b w:val="false"/>
          <w:i w:val="false"/>
          <w:color w:val="000000"/>
          <w:sz w:val="28"/>
        </w:rPr>
        <w:t>
      7. Активы, включенные в расчет активов, условных и возможных требований и обязательств с учетом рыночного риска в соответствии с пунктом 17 Инструкции,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r>
        <w:br/>
      </w:r>
      <w:r>
        <w:rPr>
          <w:rFonts w:ascii="Times New Roman"/>
          <w:b w:val="false"/>
          <w:i w:val="false"/>
          <w:color w:val="000000"/>
          <w:sz w:val="28"/>
        </w:rPr>
        <w:t>
      8. Для целей расчета активов банка, взвешенных по степени риска вложений, под необеспеченным потребительским займом понимается потребительский займ,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Start w:name="z2"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2016 года № 67 </w:t>
      </w:r>
    </w:p>
    <w:bookmarkEnd w:id="3"/>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значениях и методике расчетов</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val="false"/>
          <w:i w:val="false"/>
          <w:color w:val="000000"/>
          <w:sz w:val="28"/>
        </w:rPr>
        <w:t> </w:t>
      </w:r>
      <w:r>
        <w:rPr>
          <w:rFonts w:ascii="Times New Roman"/>
          <w:b/>
          <w:i w:val="false"/>
          <w:color w:val="000000"/>
          <w:sz w:val="28"/>
        </w:rPr>
        <w:t>Критерии для классификации инструментов в составе капитала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428"/>
        <w:gridCol w:w="4714"/>
        <w:gridCol w:w="4430"/>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капитал</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Добавочный капитал</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второго уровня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ликвидации банка представляют собой требования, которые удовлетворяются в последнюю очередь;</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выпущены и оплачены (за минусом выкупленных);</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выпущены и оплачены (за минусом выкупленных);</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ликвидации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законодательства Республики Казахстан;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ликвидации банка бессрочные финансовые инструменты удовлетворяются в восьмой очереди, определенной </w:t>
            </w:r>
            <w:r>
              <w:rPr>
                <w:rFonts w:ascii="Times New Roman"/>
                <w:b w:val="false"/>
                <w:i w:val="false"/>
                <w:color w:val="000000"/>
                <w:sz w:val="20"/>
              </w:rPr>
              <w:t>статьей 74-2</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до требований акционеров - собственников простых акций, до удовлетворения требований по необеспеченным обязательствам;</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ликвидации банка необеспеченное обязательство удовлетворяется в восьмой очереди, определенной </w:t>
            </w:r>
            <w:r>
              <w:rPr>
                <w:rFonts w:ascii="Times New Roman"/>
                <w:b w:val="false"/>
                <w:i w:val="false"/>
                <w:color w:val="000000"/>
                <w:sz w:val="20"/>
              </w:rPr>
              <w:t>статьей 74-2</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до требований акционеров - собственников простых акций;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являются бессрочными, отсутствуют условия повышения уровня выплат (вознаграждения) и иных условий, влекущих побуждение к выкупу;</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на который выпущено либо получено необеспеченное обязательство, составляет не менее 5 (пяти) лет;</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приложением 1-2 к Инструкции, при выполнении следующих условий:</w:t>
            </w:r>
            <w:r>
              <w:br/>
            </w:r>
            <w:r>
              <w:rPr>
                <w:rFonts w:ascii="Times New Roman"/>
                <w:b w:val="false"/>
                <w:i w:val="false"/>
                <w:color w:val="000000"/>
                <w:sz w:val="20"/>
              </w:rPr>
              <w:t>
</w:t>
            </w:r>
            <w:r>
              <w:rPr>
                <w:rFonts w:ascii="Times New Roman"/>
                <w:b w:val="false"/>
                <w:i w:val="false"/>
                <w:color w:val="000000"/>
                <w:sz w:val="20"/>
              </w:rPr>
              <w:t>наличие положительного заключения уполномоченного органа;</w:t>
            </w:r>
            <w:r>
              <w:br/>
            </w:r>
            <w:r>
              <w:rPr>
                <w:rFonts w:ascii="Times New Roman"/>
                <w:b w:val="false"/>
                <w:i w:val="false"/>
                <w:color w:val="000000"/>
                <w:sz w:val="20"/>
              </w:rPr>
              <w:t>
</w:t>
            </w:r>
            <w:r>
              <w:rPr>
                <w:rFonts w:ascii="Times New Roman"/>
                <w:b w:val="false"/>
                <w:i w:val="false"/>
                <w:color w:val="000000"/>
                <w:sz w:val="20"/>
              </w:rPr>
              <w:t>предоставление в качестве замены капиталом такого же или лучшего качества;</w:t>
            </w:r>
            <w:r>
              <w:br/>
            </w:r>
            <w:r>
              <w:rPr>
                <w:rFonts w:ascii="Times New Roman"/>
                <w:b w:val="false"/>
                <w:i w:val="false"/>
                <w:color w:val="000000"/>
                <w:sz w:val="20"/>
              </w:rPr>
              <w:t>
</w:t>
            </w:r>
            <w:r>
              <w:rPr>
                <w:rFonts w:ascii="Times New Roman"/>
                <w:b w:val="false"/>
                <w:i w:val="false"/>
                <w:color w:val="000000"/>
                <w:sz w:val="20"/>
              </w:rPr>
              <w:t>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признание в составе регуляторного капитала в последние пять лет срока обращения амортизируются прямолинейным методом;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 условия, при которых выплата дивидендов является обязательной и невыплата дивидендов не является случаем дефолта;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любая выплата номинала (через выкуп или отзыв) осуществляется с предварительного разрешения уполномоченного органа;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 условия повышения уровня выплат (вознаграждения) и отсутствуют побуждения к выкупу;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значений, установленных приложением 1-2 к Инструкции;</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приложением 1-2 к Инструкции, при выполнении следующих условий:</w:t>
            </w:r>
            <w:r>
              <w:br/>
            </w:r>
            <w:r>
              <w:rPr>
                <w:rFonts w:ascii="Times New Roman"/>
                <w:b w:val="false"/>
                <w:i w:val="false"/>
                <w:color w:val="000000"/>
                <w:sz w:val="20"/>
              </w:rPr>
              <w:t>
</w:t>
            </w:r>
            <w:r>
              <w:rPr>
                <w:rFonts w:ascii="Times New Roman"/>
                <w:b w:val="false"/>
                <w:i w:val="false"/>
                <w:color w:val="000000"/>
                <w:sz w:val="20"/>
              </w:rPr>
              <w:t>наличие положительного заключения уполномоченного органа;</w:t>
            </w:r>
            <w:r>
              <w:br/>
            </w:r>
            <w:r>
              <w:rPr>
                <w:rFonts w:ascii="Times New Roman"/>
                <w:b w:val="false"/>
                <w:i w:val="false"/>
                <w:color w:val="000000"/>
                <w:sz w:val="20"/>
              </w:rPr>
              <w:t>
</w:t>
            </w:r>
            <w:r>
              <w:rPr>
                <w:rFonts w:ascii="Times New Roman"/>
                <w:b w:val="false"/>
                <w:i w:val="false"/>
                <w:color w:val="000000"/>
                <w:sz w:val="20"/>
              </w:rPr>
              <w:t>предоставление в качестве замены капиталом такого же или лучшего качества;</w:t>
            </w:r>
            <w:r>
              <w:br/>
            </w:r>
            <w:r>
              <w:rPr>
                <w:rFonts w:ascii="Times New Roman"/>
                <w:b w:val="false"/>
                <w:i w:val="false"/>
                <w:color w:val="000000"/>
                <w:sz w:val="20"/>
              </w:rPr>
              <w:t>
</w:t>
            </w:r>
            <w:r>
              <w:rPr>
                <w:rFonts w:ascii="Times New Roman"/>
                <w:b w:val="false"/>
                <w:i w:val="false"/>
                <w:color w:val="000000"/>
                <w:sz w:val="20"/>
              </w:rPr>
              <w:t>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выплаты дискреционных платежей по данному инструменту не является случаем дефолта;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 не вправе предъявлять требование об отзыве (исполнении) необеспеченного обязательства ранее 5 (пяти) лет с момента его возникновения;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оплаченная сумма признается как собственный капитал (не признается в качестве обязательства) для определения неплатежеспособности;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имеют полный доступ к отмененным платежам в целях исполнения обязательств по мере наступления их срока исполнения;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платежей не приводит к ограничениям в деятельности банка, за исключением осуществления выплаты дивидендов основным акционерам;</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полностью выпущены и оплачены акционерами.</w:t>
            </w:r>
            <w:r>
              <w:br/>
            </w:r>
            <w:r>
              <w:rPr>
                <w:rFonts w:ascii="Times New Roman"/>
                <w:b w:val="false"/>
                <w:i w:val="false"/>
                <w:color w:val="000000"/>
                <w:sz w:val="20"/>
              </w:rPr>
              <w:t>
</w:t>
            </w:r>
            <w:r>
              <w:rPr>
                <w:rFonts w:ascii="Times New Roman"/>
                <w:b w:val="false"/>
                <w:i w:val="false"/>
                <w:color w:val="000000"/>
                <w:sz w:val="20"/>
              </w:rPr>
              <w:t xml:space="preserve">При этом банкам запрещается выдача займов на приобретение собственных акций;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w:t>
            </w:r>
            <w:r>
              <w:br/>
            </w:r>
            <w:r>
              <w:rPr>
                <w:rFonts w:ascii="Times New Roman"/>
                <w:b w:val="false"/>
                <w:i w:val="false"/>
                <w:color w:val="000000"/>
                <w:sz w:val="20"/>
              </w:rPr>
              <w:t>
</w:t>
            </w:r>
            <w:r>
              <w:rPr>
                <w:rFonts w:ascii="Times New Roman"/>
                <w:b w:val="false"/>
                <w:i w:val="false"/>
                <w:color w:val="000000"/>
                <w:sz w:val="20"/>
              </w:rPr>
              <w:t>уменьшает права требования инструмента при ликвидации;</w:t>
            </w:r>
            <w:r>
              <w:br/>
            </w:r>
            <w:r>
              <w:rPr>
                <w:rFonts w:ascii="Times New Roman"/>
                <w:b w:val="false"/>
                <w:i w:val="false"/>
                <w:color w:val="000000"/>
                <w:sz w:val="20"/>
              </w:rPr>
              <w:t>
</w:t>
            </w:r>
            <w:r>
              <w:rPr>
                <w:rFonts w:ascii="Times New Roman"/>
                <w:b w:val="false"/>
                <w:i w:val="false"/>
                <w:color w:val="000000"/>
                <w:sz w:val="20"/>
              </w:rPr>
              <w:t>уменьшает суммы выплаты при осуществлении отзыва инструмента;</w:t>
            </w:r>
            <w:r>
              <w:br/>
            </w:r>
            <w:r>
              <w:rPr>
                <w:rFonts w:ascii="Times New Roman"/>
                <w:b w:val="false"/>
                <w:i w:val="false"/>
                <w:color w:val="000000"/>
                <w:sz w:val="20"/>
              </w:rPr>
              <w:t>
</w:t>
            </w:r>
            <w:r>
              <w:rPr>
                <w:rFonts w:ascii="Times New Roman"/>
                <w:b w:val="false"/>
                <w:i w:val="false"/>
                <w:color w:val="000000"/>
                <w:sz w:val="20"/>
              </w:rPr>
              <w:t>частично либо полностью уменьшает выплату дивидендов (вознаграждения) по инструменту;</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четко и раздельно раскрыты в финансовой отчетности банка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2016 года № 67 </w:t>
      </w:r>
    </w:p>
    <w:bookmarkEnd w:id="4"/>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значениях и методике расчетов</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val="false"/>
          <w:i w:val="false"/>
          <w:color w:val="000000"/>
          <w:sz w:val="28"/>
        </w:rPr>
        <w:t>   </w:t>
      </w:r>
      <w:r>
        <w:rPr>
          <w:rFonts w:ascii="Times New Roman"/>
          <w:b/>
          <w:i w:val="false"/>
          <w:color w:val="000000"/>
          <w:sz w:val="28"/>
        </w:rPr>
        <w:t>Таблица условных и возможных обязательств банка, взвешенных по</w:t>
      </w:r>
      <w:r>
        <w:br/>
      </w:r>
      <w:r>
        <w:rPr>
          <w:rFonts w:ascii="Times New Roman"/>
          <w:b w:val="false"/>
          <w:i w:val="false"/>
          <w:color w:val="000000"/>
          <w:sz w:val="28"/>
        </w:rPr>
        <w:t>
</w:t>
      </w:r>
      <w:r>
        <w:rPr>
          <w:rFonts w:ascii="Times New Roman"/>
          <w:b/>
          <w:i w:val="false"/>
          <w:color w:val="000000"/>
          <w:sz w:val="28"/>
        </w:rPr>
        <w:t>                     степени кредитного риска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0428"/>
        <w:gridCol w:w="2715"/>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«Самрук-Казына»,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предусмотренных пунктом 17 Инструкции</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(условные) обязательства по размещению банком в будущем займов и вкладов, подлежащие отмене в любой момент по требованию банка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 принятые банком в обеспечение выданного займа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(условные) обязательства по размещению банком в будущем займов и вкладов со сроком погашения менее 1 (одного) года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(условные) обязательства по размещению банком в будущем займов и вкладов со сроком погашения более 1 (одного) года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продаже банку и с обязательством обратного выкупа банком финансовых инструментов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гарантии (поручительства) банка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аккредитивы банка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условные (возможные) обязательства банка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Таблице условных и возможных</w:t>
      </w:r>
      <w:r>
        <w:br/>
      </w:r>
      <w:r>
        <w:rPr>
          <w:rFonts w:ascii="Times New Roman"/>
          <w:b w:val="false"/>
          <w:i w:val="false"/>
          <w:color w:val="000000"/>
          <w:sz w:val="28"/>
        </w:rPr>
        <w:t>
обязательств банка, взвешенных</w:t>
      </w:r>
      <w:r>
        <w:br/>
      </w:r>
      <w:r>
        <w:rPr>
          <w:rFonts w:ascii="Times New Roman"/>
          <w:b w:val="false"/>
          <w:i w:val="false"/>
          <w:color w:val="000000"/>
          <w:sz w:val="28"/>
        </w:rPr>
        <w:t xml:space="preserve">
по степени кредитного риска </w:t>
      </w:r>
    </w:p>
    <w:p>
      <w:pPr>
        <w:spacing w:after="0"/>
        <w:ind w:left="0"/>
        <w:jc w:val="both"/>
      </w:pPr>
      <w:r>
        <w:rPr>
          <w:rFonts w:ascii="Times New Roman"/>
          <w:b w:val="false"/>
          <w:i w:val="false"/>
          <w:color w:val="000000"/>
          <w:sz w:val="28"/>
        </w:rPr>
        <w:t>              </w:t>
      </w:r>
      <w:r>
        <w:rPr>
          <w:rFonts w:ascii="Times New Roman"/>
          <w:b/>
          <w:i w:val="false"/>
          <w:color w:val="000000"/>
          <w:sz w:val="28"/>
        </w:rPr>
        <w:t>Пояснения к расчету условных и возможных</w:t>
      </w:r>
      <w:r>
        <w:br/>
      </w:r>
      <w:r>
        <w:rPr>
          <w:rFonts w:ascii="Times New Roman"/>
          <w:b w:val="false"/>
          <w:i w:val="false"/>
          <w:color w:val="000000"/>
          <w:sz w:val="28"/>
        </w:rPr>
        <w:t>
</w:t>
      </w:r>
      <w:r>
        <w:rPr>
          <w:rFonts w:ascii="Times New Roman"/>
          <w:b/>
          <w:i w:val="false"/>
          <w:color w:val="000000"/>
          <w:sz w:val="28"/>
        </w:rPr>
        <w:t>      обязательств банка, взвешенных по степени кредитного риска</w:t>
      </w:r>
    </w:p>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17 Инструкции,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Start w:name="z4" w:id="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2016 года № 67 </w:t>
      </w:r>
    </w:p>
    <w:bookmarkEnd w:id="5"/>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значениях и методике расчетов</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i w:val="false"/>
          <w:color w:val="000000"/>
          <w:sz w:val="28"/>
        </w:rPr>
        <w:t>                 Список организаторов торгов,</w:t>
      </w:r>
      <w:r>
        <w:br/>
      </w:r>
      <w:r>
        <w:rPr>
          <w:rFonts w:ascii="Times New Roman"/>
          <w:b w:val="false"/>
          <w:i w:val="false"/>
          <w:color w:val="000000"/>
          <w:sz w:val="28"/>
        </w:rPr>
        <w:t>
</w:t>
      </w:r>
      <w:r>
        <w:rPr>
          <w:rFonts w:ascii="Times New Roman"/>
          <w:b/>
          <w:i w:val="false"/>
          <w:color w:val="000000"/>
          <w:sz w:val="28"/>
        </w:rPr>
        <w:t>         признаваемых международными фондовыми биржами</w:t>
      </w:r>
    </w:p>
    <w:p>
      <w:pPr>
        <w:spacing w:after="0"/>
        <w:ind w:left="0"/>
        <w:jc w:val="both"/>
      </w:pPr>
      <w:r>
        <w:rPr>
          <w:rFonts w:ascii="Times New Roman"/>
          <w:b w:val="false"/>
          <w:i w:val="false"/>
          <w:color w:val="000000"/>
          <w:sz w:val="28"/>
        </w:rPr>
        <w:t>      1. Чикагская товарная биржа (Chicago Mercantile Exchange).</w:t>
      </w:r>
      <w:r>
        <w:br/>
      </w:r>
      <w:r>
        <w:rPr>
          <w:rFonts w:ascii="Times New Roman"/>
          <w:b w:val="false"/>
          <w:i w:val="false"/>
          <w:color w:val="000000"/>
          <w:sz w:val="28"/>
        </w:rPr>
        <w:t>
      2. Чикагская срочная товарная биржа (The Chicago Board of Trade).</w:t>
      </w:r>
      <w:r>
        <w:br/>
      </w:r>
      <w:r>
        <w:rPr>
          <w:rFonts w:ascii="Times New Roman"/>
          <w:b w:val="false"/>
          <w:i w:val="false"/>
          <w:color w:val="000000"/>
          <w:sz w:val="28"/>
        </w:rPr>
        <w:t>
      3. Лондонская международная биржа финансовых фьючерсов (London International Financial Futures and Options Exchange).</w:t>
      </w:r>
      <w:r>
        <w:br/>
      </w:r>
      <w:r>
        <w:rPr>
          <w:rFonts w:ascii="Times New Roman"/>
          <w:b w:val="false"/>
          <w:i w:val="false"/>
          <w:color w:val="000000"/>
          <w:sz w:val="28"/>
        </w:rPr>
        <w:t>
      4. Французская международная биржа финансовых фьючерсов (French International Financial Futures Exchange MATIF).</w:t>
      </w:r>
      <w:r>
        <w:br/>
      </w:r>
      <w:r>
        <w:rPr>
          <w:rFonts w:ascii="Times New Roman"/>
          <w:b w:val="false"/>
          <w:i w:val="false"/>
          <w:color w:val="000000"/>
          <w:sz w:val="28"/>
        </w:rPr>
        <w:t>
      5. Франкфуртская фондовая биржа (Frankfurt Stock Exchange).</w:t>
      </w:r>
      <w:r>
        <w:br/>
      </w:r>
      <w:r>
        <w:rPr>
          <w:rFonts w:ascii="Times New Roman"/>
          <w:b w:val="false"/>
          <w:i w:val="false"/>
          <w:color w:val="000000"/>
          <w:sz w:val="28"/>
        </w:rPr>
        <w:t>
      6. Стокгольмская фондовая биржа (Stockholm Exchange).</w:t>
      </w:r>
      <w:r>
        <w:br/>
      </w:r>
      <w:r>
        <w:rPr>
          <w:rFonts w:ascii="Times New Roman"/>
          <w:b w:val="false"/>
          <w:i w:val="false"/>
          <w:color w:val="000000"/>
          <w:sz w:val="28"/>
        </w:rPr>
        <w:t>
      7. Стамбульская фондовая биржа (Istanbul Stock Exchange).</w:t>
      </w:r>
      <w:r>
        <w:br/>
      </w:r>
      <w:r>
        <w:rPr>
          <w:rFonts w:ascii="Times New Roman"/>
          <w:b w:val="false"/>
          <w:i w:val="false"/>
          <w:color w:val="000000"/>
          <w:sz w:val="28"/>
        </w:rPr>
        <w:t>
      8. Шанхайская фондовая биржа (Shanghai Stock Exchange).</w:t>
      </w:r>
      <w:r>
        <w:br/>
      </w:r>
      <w:r>
        <w:rPr>
          <w:rFonts w:ascii="Times New Roman"/>
          <w:b w:val="false"/>
          <w:i w:val="false"/>
          <w:color w:val="000000"/>
          <w:sz w:val="28"/>
        </w:rPr>
        <w:t>
      9. Шэньчженьская фондовая биржа (Shenchzhen Stock Exchange)</w:t>
      </w:r>
      <w:r>
        <w:br/>
      </w:r>
      <w:r>
        <w:rPr>
          <w:rFonts w:ascii="Times New Roman"/>
          <w:b w:val="false"/>
          <w:i w:val="false"/>
          <w:color w:val="000000"/>
          <w:sz w:val="28"/>
        </w:rPr>
        <w:t>
      10. Американская фондовая биржа (American Stock Exchange).</w:t>
      </w:r>
      <w:r>
        <w:br/>
      </w:r>
      <w:r>
        <w:rPr>
          <w:rFonts w:ascii="Times New Roman"/>
          <w:b w:val="false"/>
          <w:i w:val="false"/>
          <w:color w:val="000000"/>
          <w:sz w:val="28"/>
        </w:rPr>
        <w:t>
      11. Фондовая биржа Афин (Athens Exchange).</w:t>
      </w:r>
      <w:r>
        <w:br/>
      </w:r>
      <w:r>
        <w:rPr>
          <w:rFonts w:ascii="Times New Roman"/>
          <w:b w:val="false"/>
          <w:i w:val="false"/>
          <w:color w:val="000000"/>
          <w:sz w:val="28"/>
        </w:rPr>
        <w:t>
      12. Фондовая биржа Австралии (Australian Stock Exchange).</w:t>
      </w:r>
      <w:r>
        <w:br/>
      </w:r>
      <w:r>
        <w:rPr>
          <w:rFonts w:ascii="Times New Roman"/>
          <w:b w:val="false"/>
          <w:i w:val="false"/>
          <w:color w:val="000000"/>
          <w:sz w:val="28"/>
        </w:rPr>
        <w:t>
      13. Объединенная фондовая биржа Испании (ВМЕ Spanish Exchanges).</w:t>
      </w:r>
      <w:r>
        <w:br/>
      </w:r>
      <w:r>
        <w:rPr>
          <w:rFonts w:ascii="Times New Roman"/>
          <w:b w:val="false"/>
          <w:i w:val="false"/>
          <w:color w:val="000000"/>
          <w:sz w:val="28"/>
        </w:rPr>
        <w:t>
      14. Итальянская фондовая биржа (Borsa Italiana SPA).</w:t>
      </w:r>
      <w:r>
        <w:br/>
      </w:r>
      <w:r>
        <w:rPr>
          <w:rFonts w:ascii="Times New Roman"/>
          <w:b w:val="false"/>
          <w:i w:val="false"/>
          <w:color w:val="000000"/>
          <w:sz w:val="28"/>
        </w:rPr>
        <w:t>
      15. Фондовая биржа Люксембурга (Bourse de Luxembourg).</w:t>
      </w:r>
      <w:r>
        <w:br/>
      </w:r>
      <w:r>
        <w:rPr>
          <w:rFonts w:ascii="Times New Roman"/>
          <w:b w:val="false"/>
          <w:i w:val="false"/>
          <w:color w:val="000000"/>
          <w:sz w:val="28"/>
        </w:rPr>
        <w:t>
      16. Фондовая биржа Монреаля (Bourse de Montreal).</w:t>
      </w:r>
      <w:r>
        <w:br/>
      </w:r>
      <w:r>
        <w:rPr>
          <w:rFonts w:ascii="Times New Roman"/>
          <w:b w:val="false"/>
          <w:i w:val="false"/>
          <w:color w:val="000000"/>
          <w:sz w:val="28"/>
        </w:rPr>
        <w:t>
      17. Малазийская фондовая биржа (Bursa Malaysia).</w:t>
      </w:r>
      <w:r>
        <w:br/>
      </w:r>
      <w:r>
        <w:rPr>
          <w:rFonts w:ascii="Times New Roman"/>
          <w:b w:val="false"/>
          <w:i w:val="false"/>
          <w:color w:val="000000"/>
          <w:sz w:val="28"/>
        </w:rPr>
        <w:t>
      18. Чикагская биржа опционов (Chicago Board Options Exchange).</w:t>
      </w:r>
      <w:r>
        <w:br/>
      </w:r>
      <w:r>
        <w:rPr>
          <w:rFonts w:ascii="Times New Roman"/>
          <w:b w:val="false"/>
          <w:i w:val="false"/>
          <w:color w:val="000000"/>
          <w:sz w:val="28"/>
        </w:rPr>
        <w:t>
      19. Фондовая биржа Копенгагена (Copenhagen Stock Exchange).</w:t>
      </w:r>
      <w:r>
        <w:br/>
      </w:r>
      <w:r>
        <w:rPr>
          <w:rFonts w:ascii="Times New Roman"/>
          <w:b w:val="false"/>
          <w:i w:val="false"/>
          <w:color w:val="000000"/>
          <w:sz w:val="28"/>
        </w:rPr>
        <w:t>
      20. Немецкая фондовая биржа (Deutsche bourse AG).</w:t>
      </w:r>
      <w:r>
        <w:br/>
      </w:r>
      <w:r>
        <w:rPr>
          <w:rFonts w:ascii="Times New Roman"/>
          <w:b w:val="false"/>
          <w:i w:val="false"/>
          <w:color w:val="000000"/>
          <w:sz w:val="28"/>
        </w:rPr>
        <w:t>
      21. Европейская фондовая биржа «Евронекст» в Амстердаме (Euronext Amsterdam).</w:t>
      </w:r>
      <w:r>
        <w:br/>
      </w:r>
      <w:r>
        <w:rPr>
          <w:rFonts w:ascii="Times New Roman"/>
          <w:b w:val="false"/>
          <w:i w:val="false"/>
          <w:color w:val="000000"/>
          <w:sz w:val="28"/>
        </w:rPr>
        <w:t>
      22. Европейская фондовая биржа «Евронекст» в Брюсселе (Euronext Brussels).</w:t>
      </w:r>
      <w:r>
        <w:br/>
      </w:r>
      <w:r>
        <w:rPr>
          <w:rFonts w:ascii="Times New Roman"/>
          <w:b w:val="false"/>
          <w:i w:val="false"/>
          <w:color w:val="000000"/>
          <w:sz w:val="28"/>
        </w:rPr>
        <w:t>
      23. Европейская фондовая биржа «Евронекст» в Лиссабоне (Euronext Lisbon).</w:t>
      </w:r>
      <w:r>
        <w:br/>
      </w:r>
      <w:r>
        <w:rPr>
          <w:rFonts w:ascii="Times New Roman"/>
          <w:b w:val="false"/>
          <w:i w:val="false"/>
          <w:color w:val="000000"/>
          <w:sz w:val="28"/>
        </w:rPr>
        <w:t>
      24. Европейская фондовая биржа «Евронекст» в Париже (Euronext Paris).</w:t>
      </w:r>
      <w:r>
        <w:br/>
      </w:r>
      <w:r>
        <w:rPr>
          <w:rFonts w:ascii="Times New Roman"/>
          <w:b w:val="false"/>
          <w:i w:val="false"/>
          <w:color w:val="000000"/>
          <w:sz w:val="28"/>
        </w:rPr>
        <w:t>
      25. Объединенная фондовая биржа, в состав которой входят биржи Стокгольма, Хельсинки, Таллина и Риги (Hex Integrated Markets Ltd.).</w:t>
      </w:r>
      <w:r>
        <w:br/>
      </w:r>
      <w:r>
        <w:rPr>
          <w:rFonts w:ascii="Times New Roman"/>
          <w:b w:val="false"/>
          <w:i w:val="false"/>
          <w:color w:val="000000"/>
          <w:sz w:val="28"/>
        </w:rPr>
        <w:t>
      26. Гонконгская фондовая биржа (Hong Kong Exchanges and Clearing).</w:t>
      </w:r>
      <w:r>
        <w:br/>
      </w:r>
      <w:r>
        <w:rPr>
          <w:rFonts w:ascii="Times New Roman"/>
          <w:b w:val="false"/>
          <w:i w:val="false"/>
          <w:color w:val="000000"/>
          <w:sz w:val="28"/>
        </w:rPr>
        <w:t>
      27. Ирландская фондовая биржа (Irish Stock Exchange).</w:t>
      </w:r>
      <w:r>
        <w:br/>
      </w:r>
      <w:r>
        <w:rPr>
          <w:rFonts w:ascii="Times New Roman"/>
          <w:b w:val="false"/>
          <w:i w:val="false"/>
          <w:color w:val="000000"/>
          <w:sz w:val="28"/>
        </w:rPr>
        <w:t>
      28. Фондовая биржа Джакарты (Jakarta Stock Exchange).</w:t>
      </w:r>
      <w:r>
        <w:br/>
      </w:r>
      <w:r>
        <w:rPr>
          <w:rFonts w:ascii="Times New Roman"/>
          <w:b w:val="false"/>
          <w:i w:val="false"/>
          <w:color w:val="000000"/>
          <w:sz w:val="28"/>
        </w:rPr>
        <w:t>
      29. Фондовая биржа Йоханнесбурга (Южная Африка) (JSE Securities Exchange South Africa).</w:t>
      </w:r>
      <w:r>
        <w:br/>
      </w:r>
      <w:r>
        <w:rPr>
          <w:rFonts w:ascii="Times New Roman"/>
          <w:b w:val="false"/>
          <w:i w:val="false"/>
          <w:color w:val="000000"/>
          <w:sz w:val="28"/>
        </w:rPr>
        <w:t>
      30. Южнокорейская фондовая биржа (Korea Stock Exchange).</w:t>
      </w:r>
      <w:r>
        <w:br/>
      </w:r>
      <w:r>
        <w:rPr>
          <w:rFonts w:ascii="Times New Roman"/>
          <w:b w:val="false"/>
          <w:i w:val="false"/>
          <w:color w:val="000000"/>
          <w:sz w:val="28"/>
        </w:rPr>
        <w:t>
      31. Лондонская фондовая биржа (London Stock Exchange).</w:t>
      </w:r>
      <w:r>
        <w:br/>
      </w:r>
      <w:r>
        <w:rPr>
          <w:rFonts w:ascii="Times New Roman"/>
          <w:b w:val="false"/>
          <w:i w:val="false"/>
          <w:color w:val="000000"/>
          <w:sz w:val="28"/>
        </w:rPr>
        <w:t>
      32. Фондовая биржа Мальты (Malta Stock Exchange).</w:t>
      </w:r>
      <w:r>
        <w:br/>
      </w:r>
      <w:r>
        <w:rPr>
          <w:rFonts w:ascii="Times New Roman"/>
          <w:b w:val="false"/>
          <w:i w:val="false"/>
          <w:color w:val="000000"/>
          <w:sz w:val="28"/>
        </w:rPr>
        <w:t>
      33. Национальная фондовая биржа Индии (National Stock Exchange of India Limited).</w:t>
      </w:r>
      <w:r>
        <w:br/>
      </w:r>
      <w:r>
        <w:rPr>
          <w:rFonts w:ascii="Times New Roman"/>
          <w:b w:val="false"/>
          <w:i w:val="false"/>
          <w:color w:val="000000"/>
          <w:sz w:val="28"/>
        </w:rPr>
        <w:t>
      34. Нью-Йоркская фондовая биржа (New York Stock Exchange).</w:t>
      </w:r>
      <w:r>
        <w:br/>
      </w:r>
      <w:r>
        <w:rPr>
          <w:rFonts w:ascii="Times New Roman"/>
          <w:b w:val="false"/>
          <w:i w:val="false"/>
          <w:color w:val="000000"/>
          <w:sz w:val="28"/>
        </w:rPr>
        <w:t>
      35. Фондовая биржа Новой Зеландии (New Zealand Exchange).</w:t>
      </w:r>
      <w:r>
        <w:br/>
      </w:r>
      <w:r>
        <w:rPr>
          <w:rFonts w:ascii="Times New Roman"/>
          <w:b w:val="false"/>
          <w:i w:val="false"/>
          <w:color w:val="000000"/>
          <w:sz w:val="28"/>
        </w:rPr>
        <w:t>
      36. Фондовая биржа Осаки (Osaka Securities Exchange).</w:t>
      </w:r>
      <w:r>
        <w:br/>
      </w:r>
      <w:r>
        <w:rPr>
          <w:rFonts w:ascii="Times New Roman"/>
          <w:b w:val="false"/>
          <w:i w:val="false"/>
          <w:color w:val="000000"/>
          <w:sz w:val="28"/>
        </w:rPr>
        <w:t>
      37. Фондовая биржа Осло (Oslo bourse).</w:t>
      </w:r>
      <w:r>
        <w:br/>
      </w:r>
      <w:r>
        <w:rPr>
          <w:rFonts w:ascii="Times New Roman"/>
          <w:b w:val="false"/>
          <w:i w:val="false"/>
          <w:color w:val="000000"/>
          <w:sz w:val="28"/>
        </w:rPr>
        <w:t>
      38. Филиппинская фондовая биржа (Philippine Stock Exchange).</w:t>
      </w:r>
      <w:r>
        <w:br/>
      </w:r>
      <w:r>
        <w:rPr>
          <w:rFonts w:ascii="Times New Roman"/>
          <w:b w:val="false"/>
          <w:i w:val="false"/>
          <w:color w:val="000000"/>
          <w:sz w:val="28"/>
        </w:rPr>
        <w:t>
      39. Сингапурская фондовая биржа (Singapore Exchange).</w:t>
      </w:r>
      <w:r>
        <w:br/>
      </w:r>
      <w:r>
        <w:rPr>
          <w:rFonts w:ascii="Times New Roman"/>
          <w:b w:val="false"/>
          <w:i w:val="false"/>
          <w:color w:val="000000"/>
          <w:sz w:val="28"/>
        </w:rPr>
        <w:t>
      40. Фондовая биржа Швейцарии (SWX Swiss Exchange).</w:t>
      </w:r>
      <w:r>
        <w:br/>
      </w:r>
      <w:r>
        <w:rPr>
          <w:rFonts w:ascii="Times New Roman"/>
          <w:b w:val="false"/>
          <w:i w:val="false"/>
          <w:color w:val="000000"/>
          <w:sz w:val="28"/>
        </w:rPr>
        <w:t>
      41. Токийская фондовая биржа (Tokyo Stock Exchange).</w:t>
      </w:r>
      <w:r>
        <w:br/>
      </w:r>
      <w:r>
        <w:rPr>
          <w:rFonts w:ascii="Times New Roman"/>
          <w:b w:val="false"/>
          <w:i w:val="false"/>
          <w:color w:val="000000"/>
          <w:sz w:val="28"/>
        </w:rPr>
        <w:t>
      42. Австрийская фондовая биржа (Wiener bourse AG).</w:t>
      </w:r>
      <w:r>
        <w:br/>
      </w:r>
      <w:r>
        <w:rPr>
          <w:rFonts w:ascii="Times New Roman"/>
          <w:b w:val="false"/>
          <w:i w:val="false"/>
          <w:color w:val="000000"/>
          <w:sz w:val="28"/>
        </w:rPr>
        <w:t>
      43. Варшавская фондовая биржа (Warsaw Stock Exchange).</w:t>
      </w:r>
      <w:r>
        <w:br/>
      </w:r>
      <w:r>
        <w:rPr>
          <w:rFonts w:ascii="Times New Roman"/>
          <w:b w:val="false"/>
          <w:i w:val="false"/>
          <w:color w:val="000000"/>
          <w:sz w:val="28"/>
        </w:rPr>
        <w:t>
      44. Бомбейская фондовая биржа (The Bombay Stock Exchange Limited, BSE).</w:t>
      </w:r>
      <w:r>
        <w:br/>
      </w:r>
      <w:r>
        <w:rPr>
          <w:rFonts w:ascii="Times New Roman"/>
          <w:b w:val="false"/>
          <w:i w:val="false"/>
          <w:color w:val="000000"/>
          <w:sz w:val="28"/>
        </w:rPr>
        <w:t>
      45. Бразильская фондовая биржа (Bovespa).</w:t>
      </w:r>
      <w:r>
        <w:br/>
      </w:r>
      <w:r>
        <w:rPr>
          <w:rFonts w:ascii="Times New Roman"/>
          <w:b w:val="false"/>
          <w:i w:val="false"/>
          <w:color w:val="000000"/>
          <w:sz w:val="28"/>
        </w:rPr>
        <w:t>
      46. Индийская фондовая биржа (Delhi Stock Exchange).</w:t>
      </w:r>
      <w:r>
        <w:br/>
      </w:r>
      <w:r>
        <w:rPr>
          <w:rFonts w:ascii="Times New Roman"/>
          <w:b w:val="false"/>
          <w:i w:val="false"/>
          <w:color w:val="000000"/>
          <w:sz w:val="28"/>
        </w:rPr>
        <w:t>
      47. Мексиканская фондовая биржа (Bolsa Mexicana de Valores, BMV).</w:t>
      </w:r>
      <w:r>
        <w:br/>
      </w:r>
      <w:r>
        <w:rPr>
          <w:rFonts w:ascii="Times New Roman"/>
          <w:b w:val="false"/>
          <w:i w:val="false"/>
          <w:color w:val="000000"/>
          <w:sz w:val="28"/>
        </w:rPr>
        <w:t>
      48. Фондовая биржа Российской Федерации (ОАО ММВБ-РТС).</w:t>
      </w:r>
      <w:r>
        <w:br/>
      </w:r>
      <w:r>
        <w:rPr>
          <w:rFonts w:ascii="Times New Roman"/>
          <w:b w:val="false"/>
          <w:i w:val="false"/>
          <w:color w:val="000000"/>
          <w:sz w:val="28"/>
        </w:rPr>
        <w:t>
      49. Фондовая биржа Торонто (Toronto Stock Exchange).</w:t>
      </w:r>
      <w:r>
        <w:br/>
      </w:r>
      <w:r>
        <w:rPr>
          <w:rFonts w:ascii="Times New Roman"/>
          <w:b w:val="false"/>
          <w:i w:val="false"/>
          <w:color w:val="000000"/>
          <w:sz w:val="28"/>
        </w:rPr>
        <w:t>
      50. Фондовая биржа США (National Association of Securities Dealers Automated Quotation, NASDAQ).</w:t>
      </w:r>
    </w:p>
    <w:bookmarkStart w:name="z5" w:id="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2016 года № 67 </w:t>
      </w:r>
    </w:p>
    <w:bookmarkEnd w:id="6"/>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значениях и методике расчетов</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val="false"/>
          <w:i w:val="false"/>
          <w:color w:val="000000"/>
          <w:sz w:val="28"/>
        </w:rPr>
        <w:t>          </w:t>
      </w:r>
      <w:r>
        <w:rPr>
          <w:rFonts w:ascii="Times New Roman"/>
          <w:b/>
          <w:i w:val="false"/>
          <w:color w:val="000000"/>
          <w:sz w:val="28"/>
        </w:rPr>
        <w:t>Таблица высококачественных ликвидных активов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286"/>
        <w:gridCol w:w="314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учета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Высококачественные ликвидные активы первого уровня</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Наличные деньги</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Депозиты в Национальном Банке, превышающие минимальные резервные требования</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Правительству Республики Казахстан, Национальному Банку, центральным правительствам иностранных государств и центральным банкам иностранных государств, взвешиваемые по степени кредитного риска 0 (ноль) процентов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Высококачественные ликвидные активы второго уровня</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местным органам власти Республики Казахстан, в том числе ценные бумаги, выпущенные местными органами власти Республики Казахстан, взвешиваемые по степени кредитного риска 20 (двадцать) процентов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взвешиваемые по степени кредитного риска 20 (двадцать) процентов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bookmarkStart w:name="z6" w:id="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2016 года № 67 </w:t>
      </w:r>
    </w:p>
    <w:bookmarkEnd w:id="7"/>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значениях и методике расчетов</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val="false"/>
          <w:i w:val="false"/>
          <w:color w:val="000000"/>
          <w:sz w:val="28"/>
        </w:rPr>
        <w:t>              </w:t>
      </w:r>
      <w:r>
        <w:rPr>
          <w:rFonts w:ascii="Times New Roman"/>
          <w:b/>
          <w:i w:val="false"/>
          <w:color w:val="000000"/>
          <w:sz w:val="28"/>
        </w:rPr>
        <w:t>Таблица денежных оттоков и притоков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757"/>
        <w:gridCol w:w="3536"/>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оттока (притока)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оттоки по депозитам физических лиц</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Стабильные депозиты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стабильные депозиты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оттоки по обязательствам перед юридическими лицами, субъектами малого предпринимательства, не обеспеченным активами банка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связанные с клиринговой, кастодиальной деятельностью, с деятельностью по управлению ликвидностью</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Депозиты нефинансовых организаций, Правительства Республики Казахстан, Национального Банка, местных органов власти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перед иными юридическими лицами, в том числе обязательства по выпущенным ценным бумагам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оттоки по обязательствам перед юридическими лицами, обеспеченным активами банка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обеспеченные высококачественными ликвидными активами первого уровня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перед Национальным Банком и Правительством Республики Казахстан</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обеспеченные высококачественными ликвидными активами второго уровня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обеспеченные обязательства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денежные оттоки по условным и возможным обязательствам</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потребность в ликвидности по производным финансовым инструментам и иным договорам, при снижении рейтинга банка до 3 (трех) ступеней включительно</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условиями, предусмотренными договором</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Необходимость в дополнительной ликвидности при изменении рыночной оценки позиций по производным финансовым инструментам и иным операциям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Наибольший тридцатидневный нетто отток за предыдущие 24 (двадцать четыре) месяца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по ценным бумагам, обеспеченным поступлением денег по активам, в том числе по ипотечным ценным бумагам, выпущенным банком, и имеющим срок погашения менее 30 (тридцати) календарных дней</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по ценным бумагам, обеспеченным поступлением денег по активам, и выпущенным дочерними специальными организациями банка, имеющим срок погашения менее 30 (тридцати) календарных дней</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и линий ликвидности, предоставленных физическим лицам и субъектам малого предпринимательства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предоставленных нефинансовым организациям, Правительству Республики Казахстан, Национальному Банку, местным органам власти Республики Казахстан и международным финансовым организациям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органам власти Республики Казахстан и международным финансовым организациям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и линий ликвидности, предоставленных другим банкам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предоставленных финансовым организациям, не являющимся банками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линий ликвидности, предоставленных иным финансовым организациям, не являющимся банками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в дополнительной ликвидности по безусловно отзывным кредитным линиям и линиям ликвидности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гарантиям и поручительствам, аккредитивам, не связанным с финансированием экспорта и импорта товаров и услуг</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денежные оттоки по обязательствам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притоки</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операции, обеспеченные высококачественными ликвидными активами первого уровня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операции, обеспеченные высококачественными ликвидными активами второго уровня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операции, обеспеченные иными активами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Кредитные линии, линии ликвидности, предоставленные другими банками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связанные с клиринговой, кастодиальной деятельностью, с деятельностью по управлению ликвидностью клиента в других финансовых организациях</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 лицам и субъектам малого предпринимательства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нефинансовым организациям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притоки по производным финансовым инструментам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денежные притоки от операций, по договорам которых ожидаются денежные притоки в ближайшие 30 (тридцать) календарных дней</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7" w:id="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2016 года № 67 </w:t>
      </w:r>
    </w:p>
    <w:bookmarkEnd w:id="8"/>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значениях и методике расчетов</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val="false"/>
          <w:i w:val="false"/>
          <w:color w:val="000000"/>
          <w:sz w:val="28"/>
        </w:rPr>
        <w:t>    </w:t>
      </w:r>
      <w:r>
        <w:rPr>
          <w:rFonts w:ascii="Times New Roman"/>
          <w:b/>
          <w:i w:val="false"/>
          <w:color w:val="000000"/>
          <w:sz w:val="28"/>
        </w:rPr>
        <w:t>Таблица обязательств доступного стабильного фондирования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286"/>
        <w:gridCol w:w="314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доступного стабильного фондирования,</w:t>
            </w:r>
            <w:r>
              <w:br/>
            </w:r>
            <w:r>
              <w:rPr>
                <w:rFonts w:ascii="Times New Roman"/>
                <w:b w:val="false"/>
                <w:i w:val="false"/>
                <w:color w:val="000000"/>
                <w:sz w:val="20"/>
              </w:rPr>
              <w:t>
</w:t>
            </w:r>
            <w:r>
              <w:rPr>
                <w:rFonts w:ascii="Times New Roman"/>
                <w:b w:val="false"/>
                <w:i w:val="false"/>
                <w:color w:val="000000"/>
                <w:sz w:val="20"/>
              </w:rPr>
              <w:t>в процентах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 до вычета инвестиций, указанных в пункте 4-1 Инструкции (за исключением инструментов капитала второго уровня со сроком погашения менее одного года)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инструменты капитала и обязательства с оставшимся сроком погашения 1 (один) год и более</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Стабильные депозиты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стабильные депозиты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с оставшимся сроком погашения менее 1 (одного) года, предоставленные нефинансовыми организациями</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связанные с клиринговой, кастодиальной деятельностью, с деятельностью по управлению ликвидностью клиента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обязательств с оставшимся сроком погашения более 6 (шести) месяцев и менее 1 (одного) года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обязательства, в том числе бессрочные обязательства (с установлением особого режима для отсроченных налоговых обязательств)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возникающие от покупки финансовых инструментов, иностранной валюты в день покупки</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8" w:id="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2016 года № 67 </w:t>
      </w:r>
    </w:p>
    <w:bookmarkEnd w:id="9"/>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значениях и методике расчетов</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val="false"/>
          <w:i w:val="false"/>
          <w:color w:val="000000"/>
          <w:sz w:val="28"/>
        </w:rPr>
        <w:t>       </w:t>
      </w:r>
      <w:r>
        <w:rPr>
          <w:rFonts w:ascii="Times New Roman"/>
          <w:b/>
          <w:i w:val="false"/>
          <w:color w:val="000000"/>
          <w:sz w:val="28"/>
        </w:rPr>
        <w:t>Таблица активов требуемого стабильного фондирования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0181"/>
        <w:gridCol w:w="311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требуемого стабильного фондирования, </w:t>
            </w:r>
            <w:r>
              <w:rPr>
                <w:rFonts w:ascii="Times New Roman"/>
                <w:b w:val="false"/>
                <w:i w:val="false"/>
                <w:color w:val="000000"/>
                <w:sz w:val="20"/>
              </w:rPr>
              <w:t>в процентах</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Наличные деньги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Резервы в Национальном Банке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банкам иностранных государств с оставшимся сроком погашения менее 6 (шести) месяцев</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Приток, возникающий от продажи финансовых инструментов, иностранной валюты в день продажи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Необремененные высококачественные ликвидные активы первого уровня, за исключением денежных средств и резервов в Национальном Банке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необремененные займы, предоставленные финансовым организациям с оставшимся сроком погашения менее 6 (шести) месяцев</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Необремененные высококачественные ликвидные активы второго уровня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Высококачественные ликвидные активы, обремененные на период более 6 (шести) месяцев и менее 1 (одного) года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связанные с клиринговой, кастодиальной деятельностью, с деятельностью по управлению ликвидностью клиента в других банках</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обращающиеся на фондовых биржах, включая аффинированное золото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обремененные на период от 1 (одного) года и более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активы, включая неработающие кредиты, займы, выданные финансовым организациям с оставшимся сроком погашения 1 (один) год и более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9" w:id="1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2016 года № 67 </w:t>
      </w:r>
    </w:p>
    <w:bookmarkEnd w:id="10"/>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значениях и методике расчетов</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val="false"/>
          <w:i w:val="false"/>
          <w:color w:val="000000"/>
          <w:sz w:val="28"/>
        </w:rPr>
        <w:t>       </w:t>
      </w:r>
      <w:r>
        <w:rPr>
          <w:rFonts w:ascii="Times New Roman"/>
          <w:b/>
          <w:i w:val="false"/>
          <w:color w:val="000000"/>
          <w:sz w:val="28"/>
        </w:rPr>
        <w:t>Таблица условных и возможных обязательств требуемого</w:t>
      </w:r>
      <w:r>
        <w:br/>
      </w:r>
      <w:r>
        <w:rPr>
          <w:rFonts w:ascii="Times New Roman"/>
          <w:b w:val="false"/>
          <w:i w:val="false"/>
          <w:color w:val="000000"/>
          <w:sz w:val="28"/>
        </w:rPr>
        <w:t>
</w:t>
      </w:r>
      <w:r>
        <w:rPr>
          <w:rFonts w:ascii="Times New Roman"/>
          <w:b/>
          <w:i w:val="false"/>
          <w:color w:val="000000"/>
          <w:sz w:val="28"/>
        </w:rPr>
        <w:t>                    стабильного фондирования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286"/>
        <w:gridCol w:w="314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требуемого стабильного фондирования, </w:t>
            </w:r>
            <w:r>
              <w:br/>
            </w:r>
            <w:r>
              <w:rPr>
                <w:rFonts w:ascii="Times New Roman"/>
                <w:b w:val="false"/>
                <w:i w:val="false"/>
                <w:color w:val="000000"/>
                <w:sz w:val="20"/>
              </w:rPr>
              <w:t>
</w:t>
            </w:r>
            <w:r>
              <w:rPr>
                <w:rFonts w:ascii="Times New Roman"/>
                <w:b w:val="false"/>
                <w:i w:val="false"/>
                <w:color w:val="000000"/>
                <w:sz w:val="20"/>
              </w:rPr>
              <w:t>в процентах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Безотзывные и условно-отзывные кредитные линии и линии ликвидности, предоставленные любым клиентам (доля от неиспользованного объема)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обязательства, включая следующие инструменты:</w:t>
            </w:r>
          </w:p>
          <w:p>
            <w:pPr>
              <w:spacing w:after="20"/>
              <w:ind w:left="20"/>
              <w:jc w:val="both"/>
            </w:pPr>
            <w:r>
              <w:rPr>
                <w:rFonts w:ascii="Times New Roman"/>
                <w:b w:val="false"/>
                <w:i w:val="false"/>
                <w:color w:val="000000"/>
                <w:sz w:val="20"/>
              </w:rPr>
              <w:t>безусловно отзывные кредитные линии и линии ликвидности;</w:t>
            </w:r>
          </w:p>
          <w:p>
            <w:pPr>
              <w:spacing w:after="20"/>
              <w:ind w:left="20"/>
              <w:jc w:val="both"/>
            </w:pPr>
            <w:r>
              <w:rPr>
                <w:rFonts w:ascii="Times New Roman"/>
                <w:b w:val="false"/>
                <w:i w:val="false"/>
                <w:color w:val="000000"/>
                <w:sz w:val="20"/>
              </w:rPr>
              <w:t>обязательства по торговому финансированию (включая гарантии и поручительства);</w:t>
            </w:r>
          </w:p>
          <w:p>
            <w:pPr>
              <w:spacing w:after="20"/>
              <w:ind w:left="20"/>
              <w:jc w:val="both"/>
            </w:pPr>
            <w:r>
              <w:rPr>
                <w:rFonts w:ascii="Times New Roman"/>
                <w:b w:val="false"/>
                <w:i w:val="false"/>
                <w:color w:val="000000"/>
                <w:sz w:val="20"/>
              </w:rPr>
              <w:t>гарантии и поручительства, не связанные с финансированием экспорта и импорта товаров и услуг;</w:t>
            </w:r>
          </w:p>
          <w:p>
            <w:pPr>
              <w:spacing w:after="20"/>
              <w:ind w:left="20"/>
              <w:jc w:val="both"/>
            </w:pPr>
            <w:r>
              <w:rPr>
                <w:rFonts w:ascii="Times New Roman"/>
                <w:b w:val="false"/>
                <w:i w:val="false"/>
                <w:color w:val="000000"/>
                <w:sz w:val="20"/>
              </w:rPr>
              <w:t>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0" w:id="1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2016 года № 67 </w:t>
      </w:r>
    </w:p>
    <w:bookmarkEnd w:id="11"/>
    <w:p>
      <w:pPr>
        <w:spacing w:after="0"/>
        <w:ind w:left="0"/>
        <w:jc w:val="both"/>
      </w:pPr>
      <w:r>
        <w:rPr>
          <w:rFonts w:ascii="Times New Roman"/>
          <w:b w:val="false"/>
          <w:i w:val="false"/>
          <w:color w:val="ff0000"/>
          <w:sz w:val="28"/>
        </w:rPr>
        <w:t xml:space="preserve">      Сноска. Приложение 10 утратило силу постановлением Правления Национального Банка РК от 30.05.2016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1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2016 года № 67 </w:t>
      </w:r>
    </w:p>
    <w:bookmarkEnd w:id="12"/>
    <w:p>
      <w:pPr>
        <w:spacing w:after="0"/>
        <w:ind w:left="0"/>
        <w:jc w:val="both"/>
      </w:pPr>
      <w:r>
        <w:rPr>
          <w:rFonts w:ascii="Times New Roman"/>
          <w:b w:val="false"/>
          <w:i w:val="false"/>
          <w:color w:val="ff0000"/>
          <w:sz w:val="28"/>
        </w:rPr>
        <w:t xml:space="preserve">      Сноска. Приложение 11 утратило силу постановлением Правления Национального Банка РК от 30.05.2016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2016 года № 67 </w:t>
      </w:r>
    </w:p>
    <w:bookmarkEnd w:id="13"/>
    <w:p>
      <w:pPr>
        <w:spacing w:after="0"/>
        <w:ind w:left="0"/>
        <w:jc w:val="both"/>
      </w:pPr>
      <w:r>
        <w:rPr>
          <w:rFonts w:ascii="Times New Roman"/>
          <w:b w:val="false"/>
          <w:i w:val="false"/>
          <w:color w:val="ff0000"/>
          <w:sz w:val="28"/>
        </w:rPr>
        <w:t xml:space="preserve">      Сноска. Приложение 12 утратило силу постановлением Правления Национального Банка РК от 30.05.2016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4"/>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2016 года № 67 </w:t>
      </w:r>
    </w:p>
    <w:bookmarkEnd w:id="14"/>
    <w:p>
      <w:pPr>
        <w:spacing w:after="0"/>
        <w:ind w:left="0"/>
        <w:jc w:val="both"/>
      </w:pPr>
      <w:r>
        <w:rPr>
          <w:rFonts w:ascii="Times New Roman"/>
          <w:b w:val="false"/>
          <w:i w:val="false"/>
          <w:color w:val="ff0000"/>
          <w:sz w:val="28"/>
        </w:rPr>
        <w:t xml:space="preserve">      Сноска. Приложение 13 утратило силу постановлением Правления Национального Банка РК от 30.05.2016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