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f8e4" w14:textId="88af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сельского хозяйства Республики Казахстан</w:t>
      </w:r>
    </w:p>
    <w:p>
      <w:pPr>
        <w:spacing w:after="0"/>
        <w:ind w:left="0"/>
        <w:jc w:val="both"/>
      </w:pPr>
      <w:r>
        <w:rPr>
          <w:rFonts w:ascii="Times New Roman"/>
          <w:b w:val="false"/>
          <w:i w:val="false"/>
          <w:color w:val="000000"/>
          <w:sz w:val="28"/>
        </w:rPr>
        <w:t>Приказ Министра сельского хозяйства Республики Казахстан от 9 марта 2016 года № 96. Зарегистрирован в Министерстве юстиции Республики Казахстан 6 апреля 2016 года № 13571.</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сельского хозяйства Республики Казахстан, в которые вносятся изменения и дополнения, согласно приложению к настоящему приказу.</w:t>
      </w:r>
    </w:p>
    <w:bookmarkEnd w:id="1"/>
    <w:bookmarkStart w:name="z3" w:id="2"/>
    <w:p>
      <w:pPr>
        <w:spacing w:after="0"/>
        <w:ind w:left="0"/>
        <w:jc w:val="both"/>
      </w:pPr>
      <w:r>
        <w:rPr>
          <w:rFonts w:ascii="Times New Roman"/>
          <w:b w:val="false"/>
          <w:i w:val="false"/>
          <w:color w:val="000000"/>
          <w:sz w:val="28"/>
        </w:rPr>
        <w:t>
      2.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 а также в течение пяти рабочих дней в Республиканское государственное предприятие "Республиканский центр правовой информации"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марта 2016 года</w:t>
            </w:r>
            <w:r>
              <w:br/>
            </w:r>
            <w:r>
              <w:rPr>
                <w:rFonts w:ascii="Times New Roman"/>
                <w:b w:val="false"/>
                <w:i w:val="false"/>
                <w:color w:val="000000"/>
                <w:sz w:val="20"/>
              </w:rPr>
              <w:t>№ 96</w:t>
            </w:r>
          </w:p>
        </w:tc>
      </w:tr>
    </w:tbl>
    <w:bookmarkStart w:name="z7" w:id="5"/>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приказов Министра сельского хозяйства</w:t>
      </w:r>
      <w:r>
        <w:br/>
      </w:r>
      <w:r>
        <w:rPr>
          <w:rFonts w:ascii="Times New Roman"/>
          <w:b/>
          <w:i w:val="false"/>
          <w:color w:val="000000"/>
        </w:rPr>
        <w:t>Республики Казахстан, в которые вносятся</w:t>
      </w:r>
      <w:r>
        <w:br/>
      </w:r>
      <w:r>
        <w:rPr>
          <w:rFonts w:ascii="Times New Roman"/>
          <w:b/>
          <w:i w:val="false"/>
          <w:color w:val="000000"/>
        </w:rPr>
        <w:t>изменения и дополнения</w:t>
      </w:r>
    </w:p>
    <w:bookmarkEnd w:id="5"/>
    <w:bookmarkStart w:name="z8" w:id="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28 марта 2012 года № 18-03/127 "Об утверждении перечня болезней животных, при которых производятся обязательное обезвреживание (обеззараживание) и переработка без изъятия животных, продукции и сырья животного происхождения, ветеринарных препаратов, кормов и кормовых добавок, представляющих опасность для здоровья животных и человека" (зарегистрированный в Реестре государственной регистрации нормативных правовых актов № 7590, опубликованный 26 мая 2012 года в газете "Казахстанская правда" № 154-156 (26973-26975)):</w:t>
      </w:r>
    </w:p>
    <w:bookmarkEnd w:id="6"/>
    <w:bookmarkStart w:name="z9"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болезней животных, при которых производятся обязательное обезвреживание (обеззараживание) и переработка без изъятия животных, продукции и сырья животного происхождения, ветеринарных препаратов, кормов и кормовых добавок, представляющих опасность для здоровья животных и человека, утвержденном указанным приказом: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1 изложить в новой редакции:</w:t>
      </w:r>
    </w:p>
    <w:p>
      <w:pPr>
        <w:spacing w:after="0"/>
        <w:ind w:left="0"/>
        <w:jc w:val="both"/>
      </w:pPr>
      <w:r>
        <w:rPr>
          <w:rFonts w:ascii="Times New Roman"/>
          <w:b w:val="false"/>
          <w:i w:val="false"/>
          <w:color w:val="000000"/>
          <w:sz w:val="28"/>
        </w:rPr>
        <w:t>
      "1) болезни общие нескольким видам животных – цистицеркоз (с поражением на более 3 цистицерков на разрезе мышц площадью в 40 квадратных сантиметров), бруцеллез (мелкий рогатый скот; по итогам ветеринарно-санитарной оценки – крупный рогатый скот, свиньи, верблюды, лошади)*, туберкулез (по итогом ветеринарно-санитарной оценки)*, болезнь Ауески (по итогом ветеринарно-санитарной оценки)*, везикулярный стоматит, лейкоз (по итогом ветеринарно-санитарной оценки)*, лептоспироз, листериоз, пастереллез, паратуберкулез, кампилобактериоз, фузариотоксикоз, лихорадка ку.</w:t>
      </w:r>
    </w:p>
    <w:p>
      <w:pPr>
        <w:spacing w:after="0"/>
        <w:ind w:left="0"/>
        <w:jc w:val="both"/>
      </w:pPr>
      <w:r>
        <w:rPr>
          <w:rFonts w:ascii="Times New Roman"/>
          <w:b w:val="false"/>
          <w:i w:val="false"/>
          <w:color w:val="000000"/>
          <w:sz w:val="28"/>
        </w:rPr>
        <w:t xml:space="preserve">
      Примечание: *ветеринарно-санитарная оценка осуществляется в соответствии с Ветеринарными (ветеринарно-санитарными) правилами,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июня 2015 года № 7-1/587 (зарегистрированный в Реестре государственной регистрации нормативных правовых актов № 11940);";</w:t>
      </w:r>
    </w:p>
    <w:bookmarkStart w:name="z11" w:id="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11 июня 2014 года № 16-07/296 "Об утверждении Правил проведения диагностических исследований" (зарегистрированный в Реестре государственной регистрации нормативных правовых актов № 9578, опубликованный 1 октября 2014 года в газете "Казахстанская правда" № 191 (27812)):</w:t>
      </w:r>
    </w:p>
    <w:bookmarkEnd w:id="8"/>
    <w:bookmarkStart w:name="z12"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диагностических исследований,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"8. Сотрудники ветеринарной лаборатории, осуществляющие прием биологического и патологического материала для диагностического исследования сверяют:</w:t>
      </w:r>
    </w:p>
    <w:p>
      <w:pPr>
        <w:spacing w:after="0"/>
        <w:ind w:left="0"/>
        <w:jc w:val="both"/>
      </w:pPr>
      <w:r>
        <w:rPr>
          <w:rFonts w:ascii="Times New Roman"/>
          <w:b w:val="false"/>
          <w:i w:val="false"/>
          <w:color w:val="000000"/>
          <w:sz w:val="28"/>
        </w:rPr>
        <w:t>
      1) наличие сопроводительных документов;</w:t>
      </w:r>
    </w:p>
    <w:p>
      <w:pPr>
        <w:spacing w:after="0"/>
        <w:ind w:left="0"/>
        <w:jc w:val="both"/>
      </w:pPr>
      <w:r>
        <w:rPr>
          <w:rFonts w:ascii="Times New Roman"/>
          <w:b w:val="false"/>
          <w:i w:val="false"/>
          <w:color w:val="000000"/>
          <w:sz w:val="28"/>
        </w:rPr>
        <w:t>
      2) соответствие биологического и патологического материала для диагностических исследований, данным указанных в сопроводительных документах (количество проб, номера проб, идентификационные номера животных и других данных, необходимых для обеспечения прослеживаемости пробы и влияющих на результаты диагностических исследований);</w:t>
      </w:r>
    </w:p>
    <w:p>
      <w:pPr>
        <w:spacing w:after="0"/>
        <w:ind w:left="0"/>
        <w:jc w:val="both"/>
      </w:pPr>
      <w:r>
        <w:rPr>
          <w:rFonts w:ascii="Times New Roman"/>
          <w:b w:val="false"/>
          <w:i w:val="false"/>
          <w:color w:val="000000"/>
          <w:sz w:val="28"/>
        </w:rPr>
        <w:t xml:space="preserve">
      3) соответствие количества биологического материала для диагностических исследований, указанных в сопроводительных документах (описи взятия проб крови) со сведениями о наличии поголовья животных (гурт, стадо, отара, хозяйствующий субъект и других группировках животных) в базе данных по идентификации сельскохозяйственных животных и соответствие количества взятых проб крови с наличием поголовья животных (гурт, стадо, отара, хозяйствующий субъект и другие группировки животных) с целью обеспечения охвата и одновременного проведения исследования имеющегося поголовья животных в гурте, стаде, отаре, хозяйствующем субъекте и других группировках животных (зависит от вида болезней животных и кратности диагностических исследований, предусмотренных в Ветеринарных (ветеринарно-санитарных) правилах,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июня 2015 года № 7-1/587 (зарегистрированный в Реестре государственной регистрации нормативных правовых актов № 11940));</w:t>
      </w:r>
    </w:p>
    <w:p>
      <w:pPr>
        <w:spacing w:after="0"/>
        <w:ind w:left="0"/>
        <w:jc w:val="both"/>
      </w:pPr>
      <w:r>
        <w:rPr>
          <w:rFonts w:ascii="Times New Roman"/>
          <w:b w:val="false"/>
          <w:i w:val="false"/>
          <w:color w:val="000000"/>
          <w:sz w:val="28"/>
        </w:rPr>
        <w:t xml:space="preserve">
      4) соответствие биологического и патологического материала для диагностических исследований Правилам отбора проб перемещаемых (перевозимых) объектов и биологического материала,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апреля 2015 года № 7-1/393 (зарегистрированный в Реестре государственной регистрации нормативных правовых актов № 11618) (далее – Правила отбора);</w:t>
      </w:r>
    </w:p>
    <w:p>
      <w:pPr>
        <w:spacing w:after="0"/>
        <w:ind w:left="0"/>
        <w:jc w:val="both"/>
      </w:pPr>
      <w:r>
        <w:rPr>
          <w:rFonts w:ascii="Times New Roman"/>
          <w:b w:val="false"/>
          <w:i w:val="false"/>
          <w:color w:val="000000"/>
          <w:sz w:val="28"/>
        </w:rPr>
        <w:t>
      5) целостность контейнеров, штативов и упаковочного материала.</w:t>
      </w:r>
    </w:p>
    <w:p>
      <w:pPr>
        <w:spacing w:after="0"/>
        <w:ind w:left="0"/>
        <w:jc w:val="both"/>
      </w:pPr>
      <w:r>
        <w:rPr>
          <w:rFonts w:ascii="Times New Roman"/>
          <w:b w:val="false"/>
          <w:i w:val="false"/>
          <w:color w:val="000000"/>
          <w:sz w:val="28"/>
        </w:rPr>
        <w:t>
      9. Сотрудники ветеринарной лаборатории, при сверке сопроводительных документов (описи взятия проб крови) биологического и патологического материала для диагностического исследования в течение не более одного рабочего дня:</w:t>
      </w:r>
    </w:p>
    <w:p>
      <w:pPr>
        <w:spacing w:after="0"/>
        <w:ind w:left="0"/>
        <w:jc w:val="both"/>
      </w:pPr>
      <w:r>
        <w:rPr>
          <w:rFonts w:ascii="Times New Roman"/>
          <w:b w:val="false"/>
          <w:i w:val="false"/>
          <w:color w:val="000000"/>
          <w:sz w:val="28"/>
        </w:rPr>
        <w:t>
      1) не принимают биологический и патологический материал для диагностического исследования, за исключением случаев возникновения чрезвычайных ситуаций (подозрений и вспышек особо опасных заболеваний животных, массовых отравлениях), – в случае несоответствия представленных документов и материалов условиям, указанным в пункте 8 настоящих Правил и не выполнении подпункта 2) настоящего пункта Правил;</w:t>
      </w:r>
    </w:p>
    <w:p>
      <w:pPr>
        <w:spacing w:after="0"/>
        <w:ind w:left="0"/>
        <w:jc w:val="both"/>
      </w:pPr>
      <w:r>
        <w:rPr>
          <w:rFonts w:ascii="Times New Roman"/>
          <w:b w:val="false"/>
          <w:i w:val="false"/>
          <w:color w:val="000000"/>
          <w:sz w:val="28"/>
        </w:rPr>
        <w:t>
      2) принимает на хранение в соответствии с гражданским законодательством Республики Казахстан биологического материала на срок не более пяти рабочих дней (период в течение, которого должны быть направлены пробы биологического материала от остального поголовья животных (гурт, стадо, отара, хозяйствующий субъект и другие группировки животных)) с приложением копии сопроводительных документов (описи взятия проб крови) (оригинал возвращается лицу, доставившим пробы крови) – в случае несоответствия представленных документов и материалов условиям, указанным в подпункте 3) пункта 8 настоящих Правил;</w:t>
      </w:r>
    </w:p>
    <w:p>
      <w:pPr>
        <w:spacing w:after="0"/>
        <w:ind w:left="0"/>
        <w:jc w:val="both"/>
      </w:pPr>
      <w:r>
        <w:rPr>
          <w:rFonts w:ascii="Times New Roman"/>
          <w:b w:val="false"/>
          <w:i w:val="false"/>
          <w:color w:val="000000"/>
          <w:sz w:val="28"/>
        </w:rPr>
        <w:t>
      3) принимает биологический и патологический материал для диагностического исследования.</w:t>
      </w:r>
    </w:p>
    <w:p>
      <w:pPr>
        <w:spacing w:after="0"/>
        <w:ind w:left="0"/>
        <w:jc w:val="both"/>
      </w:pPr>
      <w:r>
        <w:rPr>
          <w:rFonts w:ascii="Times New Roman"/>
          <w:b w:val="false"/>
          <w:i w:val="false"/>
          <w:color w:val="000000"/>
          <w:sz w:val="28"/>
        </w:rPr>
        <w:t>
      10. В случае не принятия биологического и патологического материала для диагностического исследования сотрудниками ветеринарной лаборатории, осуществляющими прием биологического и патологического материала для диагностического исследования, составляется протокол несоответствия биологического и патологического материала для диагностического исследования в двух экземплярах по форме, согласно приложению 1 к настоящим Правилам и информирует территориальное подразделение ведомства уполномоченного органа в области ветеринарии (далее – терподразделение).</w:t>
      </w:r>
    </w:p>
    <w:p>
      <w:pPr>
        <w:spacing w:after="0"/>
        <w:ind w:left="0"/>
        <w:jc w:val="both"/>
      </w:pPr>
      <w:r>
        <w:rPr>
          <w:rFonts w:ascii="Times New Roman"/>
          <w:b w:val="false"/>
          <w:i w:val="false"/>
          <w:color w:val="000000"/>
          <w:sz w:val="28"/>
        </w:rPr>
        <w:t>
      В случае несоответствия подпункту 2) пункта 9 настоящих Правил в информации, направляемой в терподразделение, отражается необходимость в течение пяти рабочих дней направить соответственно пробы биологического материала от остального поголовья животных (гурт, стадо, отара, хозяйствующий субъект и другие группировки животных) и о принятии мер по утилизации проб биологического материала при не направлении (не предоставлении) их в указанные сроки.</w:t>
      </w:r>
    </w:p>
    <w:p>
      <w:pPr>
        <w:spacing w:after="0"/>
        <w:ind w:left="0"/>
        <w:jc w:val="both"/>
      </w:pPr>
      <w:r>
        <w:rPr>
          <w:rFonts w:ascii="Times New Roman"/>
          <w:b w:val="false"/>
          <w:i w:val="false"/>
          <w:color w:val="000000"/>
          <w:sz w:val="28"/>
        </w:rPr>
        <w:t>
      В случае несоответствия подпункту 4) пункта 8 настоящих Правил в информации, направляемой в терподразделение, отражается необходимость в течение пяти рабочих дней направить пробы биологического материала и патологического материала взамен проб биологического и патологического материала, по которым выявлено несоответствие Правилам отбора.</w:t>
      </w:r>
    </w:p>
    <w:p>
      <w:pPr>
        <w:spacing w:after="0"/>
        <w:ind w:left="0"/>
        <w:jc w:val="both"/>
      </w:pPr>
      <w:r>
        <w:rPr>
          <w:rFonts w:ascii="Times New Roman"/>
          <w:b w:val="false"/>
          <w:i w:val="false"/>
          <w:color w:val="000000"/>
          <w:sz w:val="28"/>
        </w:rPr>
        <w:t>
      Терподразделение информирует местные исполнительные органы соответствующих административно-территориальных единиц о необходимости в течение пяти рабочих дней направить в ветеринарную лабораторию пробы биологического материала от остального поголовья животных (гурт, стадо, отара, хозяйствующий субъект и другие группировки животных) и о принятии мер по утилизации проб биологического материала при не направлении (не предоставлении) их в установленные сроки и/или направить пробы биологического материала и патологического материала взамен проб биологического и патологического материала, по которым выявлено несоответствие Правилам отбора.</w:t>
      </w:r>
    </w:p>
    <w:p>
      <w:pPr>
        <w:spacing w:after="0"/>
        <w:ind w:left="0"/>
        <w:jc w:val="both"/>
      </w:pPr>
      <w:r>
        <w:rPr>
          <w:rFonts w:ascii="Times New Roman"/>
          <w:b w:val="false"/>
          <w:i w:val="false"/>
          <w:color w:val="000000"/>
          <w:sz w:val="28"/>
        </w:rPr>
        <w:t>
      11. При приеме биологического и патологического материала для диагностического исследования, за исключением случаев несоответствия подпункту 2) пункта 9 настоящих Правил, сотрудниками ветеринарной лаборатории, осуществляющими прием биологического и патологического материала для диагностического исследования, составляется акт приема-передачи в двух экземплярах по форме, согласно приложению 2 к настоящим Правилам.</w:t>
      </w:r>
    </w:p>
    <w:p>
      <w:pPr>
        <w:spacing w:after="0"/>
        <w:ind w:left="0"/>
        <w:jc w:val="both"/>
      </w:pPr>
      <w:r>
        <w:rPr>
          <w:rFonts w:ascii="Times New Roman"/>
          <w:b w:val="false"/>
          <w:i w:val="false"/>
          <w:color w:val="000000"/>
          <w:sz w:val="28"/>
        </w:rPr>
        <w:t>
      В случае несоответствия подпункту 2) пункта 9 настоящих Правил акт приема-передачи составляется после получения в течение пяти рабочих дней пробы биологического материала от остального поголовья животных (гурт, стадо, отара, хозяйствующий субъект и другие группировки животных).</w:t>
      </w:r>
    </w:p>
    <w:p>
      <w:pPr>
        <w:spacing w:after="0"/>
        <w:ind w:left="0"/>
        <w:jc w:val="both"/>
      </w:pPr>
      <w:r>
        <w:rPr>
          <w:rFonts w:ascii="Times New Roman"/>
          <w:b w:val="false"/>
          <w:i w:val="false"/>
          <w:color w:val="000000"/>
          <w:sz w:val="28"/>
        </w:rPr>
        <w:t>
      При не направлении (не предоставлении) в течение пяти рабочих дней проб биологического материала от остального поголовья животных (гурт, стадо, отара, хозяйствующий субъект и другие группировки животных) в случае несоответствия подпункту 2) пункта 9 настоящих Правил, ветеринарная лаборатория по истечении указанного срока утилизирует пробы биологического материала с участием государственного ветеринарно-санитарного инспектора, подписавшего опись взятия проб крови, которым по результатам утилизации проб подписывается соответствующий акт утилизации проб крови, составленный в произвольной форме.</w:t>
      </w:r>
    </w:p>
    <w:p>
      <w:pPr>
        <w:spacing w:after="0"/>
        <w:ind w:left="0"/>
        <w:jc w:val="both"/>
      </w:pPr>
      <w:r>
        <w:rPr>
          <w:rFonts w:ascii="Times New Roman"/>
          <w:b w:val="false"/>
          <w:i w:val="false"/>
          <w:color w:val="000000"/>
          <w:sz w:val="28"/>
        </w:rPr>
        <w:t>
      При не направлении (не предоставлении) в течение пяти рабочих дней проб взамен проб биологического и патологического материала не соответствующим подпункту 4) пункта 8 настоящих Правил, ветеринарная лаборатория по истечении указанного срока информирует терподразделение.</w:t>
      </w:r>
    </w:p>
    <w:p>
      <w:pPr>
        <w:spacing w:after="0"/>
        <w:ind w:left="0"/>
        <w:jc w:val="both"/>
      </w:pPr>
      <w:r>
        <w:rPr>
          <w:rFonts w:ascii="Times New Roman"/>
          <w:b w:val="false"/>
          <w:i w:val="false"/>
          <w:color w:val="000000"/>
          <w:sz w:val="28"/>
        </w:rPr>
        <w:t xml:space="preserve">
      Терподразделение информирует местные исполнительные органы соответствующих административно-территориальных единиц с выдачей предписания, в порядке предусмотренном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22 июля 2013 года № 16-07/333 "Об утверждении форм предписаний, порядка их составления и выдачи государственными ветеринарно-санитарными инспекторами, государственными ветеринарными врачами" (зарегистрированный в Реестре государственной регистрации нормативных правовых актов № 8662).";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"16. По результатам проведения диагностических исследований выдается акт экспертизы (протокол испытаний).</w:t>
      </w:r>
    </w:p>
    <w:p>
      <w:pPr>
        <w:spacing w:after="0"/>
        <w:ind w:left="0"/>
        <w:jc w:val="both"/>
      </w:pPr>
      <w:r>
        <w:rPr>
          <w:rFonts w:ascii="Times New Roman"/>
          <w:b w:val="false"/>
          <w:i w:val="false"/>
          <w:color w:val="000000"/>
          <w:sz w:val="28"/>
        </w:rPr>
        <w:t>
      При соответствии подпункту 4) пункта 8 настоящих Правил акт экспертизы (протокол испытаний) всех проб биологического и патологического материала оформляется только по результатам диагностических исследований взамен направленных (предоставленных) проб биологического и патологического материала по которым выявлено несоответствие Правилам отбора.";</w:t>
      </w:r>
    </w:p>
    <w:bookmarkStart w:name="z14" w:id="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30 июня 2014 года № 16-07/332 "Об утверждении Правил планирования и проведения ветеринарных мероприятий против особо опасных болезней животных" (зарегистрированный в Реестре государственной регистрации нормативных правовых актов № 9639, опубликованный 2 сентября 2014 года в информационно-правовой системе "Әділет"):</w:t>
      </w:r>
    </w:p>
    <w:bookmarkEnd w:id="10"/>
    <w:bookmarkStart w:name="z16"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планирования и проведения ветеринарных мероприятий против особо опасных болезней животных, утвержденных указанным приказом:</w:t>
      </w:r>
    </w:p>
    <w:bookmarkEnd w:id="11"/>
    <w:bookmarkStart w:name="z17"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внесено изменение на русском языке, текст на государственном языке не изменяется:</w:t>
      </w:r>
    </w:p>
    <w:bookmarkEnd w:id="12"/>
    <w:bookmarkStart w:name="z22" w:id="13"/>
    <w:p>
      <w:pPr>
        <w:spacing w:after="0"/>
        <w:ind w:left="0"/>
        <w:jc w:val="both"/>
      </w:pPr>
      <w:r>
        <w:rPr>
          <w:rFonts w:ascii="Times New Roman"/>
          <w:b w:val="false"/>
          <w:i w:val="false"/>
          <w:color w:val="000000"/>
          <w:sz w:val="28"/>
        </w:rPr>
        <w:t xml:space="preserve">
      "1. Настоящие Правила планирования и проведения ветеринарных мероприятий против особо опасных болезней животных (далее – Правила) разработаны в соответствии с </w:t>
      </w:r>
      <w:r>
        <w:rPr>
          <w:rFonts w:ascii="Times New Roman"/>
          <w:b w:val="false"/>
          <w:i w:val="false"/>
          <w:color w:val="000000"/>
          <w:sz w:val="28"/>
        </w:rPr>
        <w:t>подпунктом 46-5)</w:t>
      </w:r>
      <w:r>
        <w:rPr>
          <w:rFonts w:ascii="Times New Roman"/>
          <w:b w:val="false"/>
          <w:i w:val="false"/>
          <w:color w:val="000000"/>
          <w:sz w:val="28"/>
        </w:rPr>
        <w:t xml:space="preserve"> статьи 8 Закона Республики Казахстан от 10 июля 2002 года "О ветеринарии" и определяют порядок планирования и проведения ветеринарных мероприятий против особо опасных болезней животных.";</w:t>
      </w:r>
    </w:p>
    <w:bookmarkEnd w:id="13"/>
    <w:bookmarkStart w:name="z18" w:id="14"/>
    <w:p>
      <w:pPr>
        <w:spacing w:after="0"/>
        <w:ind w:left="0"/>
        <w:jc w:val="both"/>
      </w:pPr>
      <w:r>
        <w:rPr>
          <w:rFonts w:ascii="Times New Roman"/>
          <w:b w:val="false"/>
          <w:i w:val="false"/>
          <w:color w:val="000000"/>
          <w:sz w:val="28"/>
        </w:rPr>
        <w:t>
      дополнить пунктом 5-1 следующего содержания:</w:t>
      </w:r>
    </w:p>
    <w:bookmarkEnd w:id="14"/>
    <w:p>
      <w:pPr>
        <w:spacing w:after="0"/>
        <w:ind w:left="0"/>
        <w:jc w:val="both"/>
      </w:pPr>
      <w:r>
        <w:rPr>
          <w:rFonts w:ascii="Times New Roman"/>
          <w:b w:val="false"/>
          <w:i w:val="false"/>
          <w:color w:val="000000"/>
          <w:sz w:val="28"/>
        </w:rPr>
        <w:t>
      "5-1. Планирование, утверждение, проведение ветеринарных мероприятий в зависимости от вида болезней животных и нормативных правовых актов, указанных в пункте 4 настоящих Правил должно обеспечить охват имеющегося поголовья животных ветеринарными мероприятиями и одновременное их проведение в гурте, стаде, отаре, хозяйствующем субъекте и других группировках животных.";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"15. Отбор проб крови и ее транспортировка (доставка) в ветеринарную лабораторию осуществляется в соответствии с Правилами отбора проб перемещаемых (перевозимых) объектов и биологического материала,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апреля 2015 года № 7-1/393 (зарегистрированный в Реестре государственной регистрации нормативных правовых актов № 11618) с использованием систем забора проб крови, получаемых от ветеринарной лаборатории и составлением акта отбора проб крови по форме, согласно приложению 3 к настоящим Правилам. К этому акту прилагается опись животных по взятым пробам крови по форме, согласно приложению 4 к настоящим Правилам.</w:t>
      </w:r>
    </w:p>
    <w:p>
      <w:pPr>
        <w:spacing w:after="0"/>
        <w:ind w:left="0"/>
        <w:jc w:val="both"/>
      </w:pPr>
      <w:r>
        <w:rPr>
          <w:rFonts w:ascii="Times New Roman"/>
          <w:b w:val="false"/>
          <w:i w:val="false"/>
          <w:color w:val="000000"/>
          <w:sz w:val="28"/>
        </w:rPr>
        <w:t>
      Взятие проб крови от животных сельскохозяйственных предприятий, крестьянских, фермерских хозяйств допускается ветеринарными врачами данных сельскохозяйственных предприятий, крестьянских, фермерских хозяйств, имеющими трудовые отношения с организацией МИО.";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Приложение 4</w:t>
            </w:r>
            <w:r>
              <w:br/>
            </w:r>
            <w:r>
              <w:rPr>
                <w:rFonts w:ascii="Times New Roman"/>
                <w:b w:val="false"/>
                <w:i w:val="false"/>
                <w:color w:val="000000"/>
                <w:sz w:val="20"/>
              </w:rPr>
              <w:t>к Правилам планирования</w:t>
            </w:r>
            <w:r>
              <w:br/>
            </w:r>
            <w:r>
              <w:rPr>
                <w:rFonts w:ascii="Times New Roman"/>
                <w:b w:val="false"/>
                <w:i w:val="false"/>
                <w:color w:val="000000"/>
                <w:sz w:val="20"/>
              </w:rPr>
              <w:t>и проведения ветеринарных</w:t>
            </w:r>
            <w:r>
              <w:br/>
            </w:r>
            <w:r>
              <w:rPr>
                <w:rFonts w:ascii="Times New Roman"/>
                <w:b w:val="false"/>
                <w:i w:val="false"/>
                <w:color w:val="000000"/>
                <w:sz w:val="20"/>
              </w:rPr>
              <w:t>мероприятий против особо</w:t>
            </w:r>
            <w:r>
              <w:br/>
            </w:r>
            <w:r>
              <w:rPr>
                <w:rFonts w:ascii="Times New Roman"/>
                <w:b w:val="false"/>
                <w:i w:val="false"/>
                <w:color w:val="000000"/>
                <w:sz w:val="20"/>
              </w:rPr>
              <w:t>опасных болезней животных</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1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Ескерту/Примечание:</w:t>
      </w:r>
    </w:p>
    <w:p>
      <w:pPr>
        <w:spacing w:after="0"/>
        <w:ind w:left="0"/>
        <w:jc w:val="both"/>
      </w:pPr>
      <w:r>
        <w:rPr>
          <w:rFonts w:ascii="Times New Roman"/>
          <w:b w:val="false"/>
          <w:i w:val="false"/>
          <w:color w:val="000000"/>
          <w:sz w:val="28"/>
        </w:rPr>
        <w:t xml:space="preserve">
      1. Диагностикалық зертеулерді жүргізу үшін ветеринариялық зертханаға жолданған қан сынамалары алынған жануарлар тізімі әрбір жануардың түріне және жастық-жыныстық тобына, жануардың ауру түріне жеке жасалады/опись животных по взятым пробам крови составляется отдельно по каждому виду животного и половозрастной группы, виду болезней животных, по которому направляется в ветеринарную лабораторию для проведения диагностических исследований. </w:t>
      </w:r>
    </w:p>
    <w:p>
      <w:pPr>
        <w:spacing w:after="0"/>
        <w:ind w:left="0"/>
        <w:jc w:val="both"/>
      </w:pPr>
      <w:r>
        <w:rPr>
          <w:rFonts w:ascii="Times New Roman"/>
          <w:b w:val="false"/>
          <w:i w:val="false"/>
          <w:color w:val="000000"/>
          <w:sz w:val="28"/>
        </w:rPr>
        <w:t>
      2. Ветеринариялық зертханада қан сынамаларын қабылдап тіркеуді жүргізетін маман екінші бөлігін қиып алады және ветеринариялық зертханада қалады/часть вторая отрывается специалистом ветеринарной лаборатории, осуществляющим прием и регистрацию проб крови и остается в ветеринарной лаборатории, после завершения исследования вместе с актом экспертизы (протоколом испытания) передается ветеринарному врачу, а копия оставляется в ветеринарной лаборатории.</w:t>
      </w:r>
    </w:p>
    <w:p>
      <w:pPr>
        <w:spacing w:after="0"/>
        <w:ind w:left="0"/>
        <w:jc w:val="both"/>
      </w:pPr>
      <w:r>
        <w:rPr>
          <w:rFonts w:ascii="Times New Roman"/>
          <w:b w:val="false"/>
          <w:i w:val="false"/>
          <w:color w:val="000000"/>
          <w:sz w:val="28"/>
        </w:rPr>
        <w:t>
      3. Бірінші бөлігі қан сынамаларын жеткізген тұлғаға қайтарылады/часть первая – возвращается, лицу, доставившему пробы крови.</w:t>
      </w:r>
    </w:p>
    <w:p>
      <w:pPr>
        <w:spacing w:after="0"/>
        <w:ind w:left="0"/>
        <w:jc w:val="both"/>
      </w:pPr>
      <w:r>
        <w:rPr>
          <w:rFonts w:ascii="Times New Roman"/>
          <w:b w:val="false"/>
          <w:i w:val="false"/>
          <w:color w:val="000000"/>
          <w:sz w:val="28"/>
        </w:rPr>
        <w:t>
      4. Тиісті әкімшілік-аумақтық бірліктің мемлекеттік ветеринариялық-санитариялық инспекторы ауыл шаруашылық жануарларын бірдейлендіру бойынша дерекқор базасымен қан сынамаларын алу актісінде, көрсетілген мал басы жөніндегі ақпаратты бір жұыс күннен ішінде салыстырғаннан кейін қол қояды; табындағы, топтағы, отардағы, шаруашылық жүргізуші субъектідегі және жануарлардың басқа да топтарындағы жануарларды (ветеринариялық (ветеринариялық-санитариялық) қағидаларда көзделген жануарлар ауруының түріне және диагностикалық зерттеулердің жиілігіне байланысты) қамтуды бір уақытта зерттеу жүргізуді қамтамасыз ету мақсатында алынған қан сынамалары санының жануарлар басы санына (табындағы, топтағы, отардағы, шаруашылық жүргізуші субъектідеге және жануарлардың басқа да топтарындағы) сәйкестігін/государственный ветеринарно-санитарный инспектор соответствующей административно-территориальной единицы по базе данных по идентификации сельскохозяйственных животных подтверждает в течение не более одного рабочего дня соответствие сведении о поголовье животных; соответствие количества взятых проб крови с наличием поголовья животных (гурт, стадо, отара, хозяйствующий субъект и другие группировки животных) с целью обеспечения охвата и одновременного проведения исследования имеющегося поголовья животных в гурте, стаде, отаре, хозяйствующем субъекте и других группировках животных (зависит от вида болезней животных и кратности диагностических исследований, предусмотренных в ветеринарных (ветеринарно-санитарных) правилах).</w:t>
      </w:r>
    </w:p>
    <w:p>
      <w:pPr>
        <w:spacing w:after="0"/>
        <w:ind w:left="0"/>
        <w:jc w:val="both"/>
      </w:pPr>
      <w:r>
        <w:rPr>
          <w:rFonts w:ascii="Times New Roman"/>
          <w:b w:val="false"/>
          <w:i w:val="false"/>
          <w:color w:val="000000"/>
          <w:sz w:val="28"/>
        </w:rPr>
        <w:t xml:space="preserve">
      5. Қан сынамалары алынған жануарлар тізімі бір нұсқада ұсынылады. Ветеринария саласындағы уәкілетті органның тиісті аумақтық ведомоства бөлімшесінің және ветеринариялық зертхананың сынаманы қабылдайтын бөлімінің (бөлімшесінің) электрондық адресіне, Microcoft Excel форматындағы қан сынамалары алынған жануарлар тізімінің электрондық нұсқасын жолдайды/Опись животных по взятым пробам крови предоставляется в одном экземпляре. Электронная версия описи животных по взятым пробам крови в формате Microcoft Excel направляется на электронный адрес соответствующего территориального подразделения ведомства уполномоченного органа в области ветеринарии и отдела (подразделение) приема проб ветеринарной лаборатории. </w:t>
      </w:r>
    </w:p>
    <w:p>
      <w:pPr>
        <w:spacing w:after="0"/>
        <w:ind w:left="0"/>
        <w:jc w:val="both"/>
      </w:pPr>
      <w:r>
        <w:rPr>
          <w:rFonts w:ascii="Times New Roman"/>
          <w:b w:val="false"/>
          <w:i w:val="false"/>
          <w:color w:val="000000"/>
          <w:sz w:val="28"/>
        </w:rPr>
        <w:t>
      № __________________________________________________________________</w:t>
      </w:r>
    </w:p>
    <w:p>
      <w:pPr>
        <w:spacing w:after="0"/>
        <w:ind w:left="0"/>
        <w:jc w:val="both"/>
      </w:pPr>
      <w:r>
        <w:rPr>
          <w:rFonts w:ascii="Times New Roman"/>
          <w:b w:val="false"/>
          <w:i w:val="false"/>
          <w:color w:val="000000"/>
          <w:sz w:val="28"/>
        </w:rPr>
        <w:t>
      (қан сынамалары алынған жануарлар тізімі)/(опись животных по</w:t>
      </w:r>
    </w:p>
    <w:p>
      <w:pPr>
        <w:spacing w:after="0"/>
        <w:ind w:left="0"/>
        <w:jc w:val="both"/>
      </w:pPr>
      <w:r>
        <w:rPr>
          <w:rFonts w:ascii="Times New Roman"/>
          <w:b w:val="false"/>
          <w:i w:val="false"/>
          <w:color w:val="000000"/>
          <w:sz w:val="28"/>
        </w:rPr>
        <w:t>
      взятым пробам крови)</w:t>
      </w:r>
    </w:p>
    <w:p>
      <w:pPr>
        <w:spacing w:after="0"/>
        <w:ind w:left="0"/>
        <w:jc w:val="both"/>
      </w:pPr>
      <w:r>
        <w:rPr>
          <w:rFonts w:ascii="Times New Roman"/>
          <w:b w:val="false"/>
          <w:i w:val="false"/>
          <w:color w:val="000000"/>
          <w:sz w:val="28"/>
        </w:rPr>
        <w:t>
      № __________________________________________________________________</w:t>
      </w:r>
    </w:p>
    <w:p>
      <w:pPr>
        <w:spacing w:after="0"/>
        <w:ind w:left="0"/>
        <w:jc w:val="both"/>
      </w:pPr>
      <w:r>
        <w:rPr>
          <w:rFonts w:ascii="Times New Roman"/>
          <w:b w:val="false"/>
          <w:i w:val="false"/>
          <w:color w:val="000000"/>
          <w:sz w:val="28"/>
        </w:rPr>
        <w:t>
      (қан сынамалары алынған жануарлар тізімі)/(опись животных по</w:t>
      </w:r>
    </w:p>
    <w:p>
      <w:pPr>
        <w:spacing w:after="0"/>
        <w:ind w:left="0"/>
        <w:jc w:val="both"/>
      </w:pPr>
      <w:r>
        <w:rPr>
          <w:rFonts w:ascii="Times New Roman"/>
          <w:b w:val="false"/>
          <w:i w:val="false"/>
          <w:color w:val="000000"/>
          <w:sz w:val="28"/>
        </w:rPr>
        <w:t>
      взятым пробам крови)</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(дата, номер акта экспертизы (протокола испытания))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