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0e5" w14:textId="b8dc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февраля 2016 года № 184. Зарегистрирован в Министерстве юстиции Республики Казахстан 17 марта 2016 года № 13502.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11664, опубликованный 30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Процедуры (действия), входящий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– 8 рабочих дней, при обращении на портал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через информационную систему электронного свидетельства, или мотивированного ответа об отказе в Государственную корпорацию или на портал в электронном виде, удостоверенного электронной цифровой подписью (далее - ЭЦП) руководителя услугодателя – в течение 15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– 8 рабочих дней, при обращении на портал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итогом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пункту 9 стандарта оформление свидетельства и направление на подписание руководителю услугодателя либо лицу его замещающему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направление мотивированного отказа в дальнейшем рассмотрении заявления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электронного свидетельства, или мотивированного ответа об отказе в Государственную корпорацию или на портал в электронном виде, удостоверенного ЭЦП услугодателя – в течение 15 минут.";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диаграмме № 1, через портал в диаграмме № 2 функционального взаимодействия информационных систем, задействованных в оказании государственной услуги согласно приложению 1 к настоящему регламенту государственной услуги "Государственная регистрация подвижного состава" (далее – регламент).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и документы услугополучателя, необходимые для оказания государственной услуги,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20 минут производит регистрацию заявления и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с момента обращения услугополучателя в течение 20 минут выдает результат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согласно пункту 9 стандарта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письма о выдаче сформированной на Портале.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приложении 2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утвержденном указанным приказом: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– 2 рабочих дня, при обращении через БВУ – 1 рабочий день;";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– 2 рабочих дня, при обращении через БВУ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итогом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пункту 9 стандарта оформление свидетельства и направление на подписание руководителю услугодателя либо лицу его замещающему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направление мотивированного отказа в дальнейшем рассмотрении заявления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электронного свидетельства, или мотивированного ответа об отказе в Государственную корпорацию или портал в электронном виде удостоверенного ЭЦП услугодателя – в течение 15 минут.";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БВУ,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диаграмме № 1, через БВУ в диаграмме №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 государственной услуги "Государственная регистрация залога подвижного состава" (далее – регламент):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документы услугодателю, необходимые для оказания государственной услуги, в Государственную корпорацию либо через БВУ;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20 минут производит регистрацию электронного заявления и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с момента обращения услугополучателя в течение 20 минут выдает результат государственной услуги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электронной государственной услуги через ПЭП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073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120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БВУ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