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d92" w14:textId="2614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 и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февраля 2016 года № 59. Зарегистрирован в Министерстве юстиции Республики Казахстан 16 марта 2016 года № 13483.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6443, опубликован в газете "Казахстанская правда" от 15 сентября 2010 года № 242 (26303)):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утвержденных указанным приказом: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"264. При применении метода равномерного начисления износа, начисление амортизации основных средств производится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использованием установленных норм амортизации;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использованием определенного срока полезного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Годовые нормы износа по долгосрочным активам государственных учреждений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"316. К биологическим активам относятся: животные и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приведены биологические активы, сельскохозяйственная продукция и конечные результаты ее переработки после получения (сбора).";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"451.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приведены различные ситуации по возникновению оценочных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"498. Основной формулой дисконтирования денежных потоков является формула определения текущей стоимости единичного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= FV/(1+i)</w:t>
      </w:r>
      <w:r>
        <w:rPr>
          <w:rFonts w:ascii="Times New Roman"/>
          <w:b w:val="false"/>
          <w:i w:val="false"/>
          <w:color w:val="000000"/>
          <w:vertAlign w:val="super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- текущая стоимость - сумма, вкладываемая в настоящий момент времени, то есть финансы, имеющиеся или инвестированные на текущую дату, или текущая стоимость финансовых средств, получаемых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FV - будущая стоимость инвестиции через n лет - финансовые средства, к получению в будущем или будущая величина сегодняшних финансовых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ставка дисконта - процентная ставка, используемая для исчисления текущей и будущей стоимости. Ставка дисконтирования используется для оценки эффективности вложений. С экономической точки зрения ставка дисконтирования - это норма доходности на вложенный капитал, требуемая инвестором;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временной период - количество периодов для расчета текущей и будущей стоимости финансовых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текущей стоимости 1 у.е. за разные периоды и по разным процентным ставкам используется таблица С-1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Будущая стоимость инвестиции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FV = PV(1+i)</w:t>
      </w:r>
      <w:r>
        <w:rPr>
          <w:rFonts w:ascii="Times New Roman"/>
          <w:b w:val="false"/>
          <w:i w:val="false"/>
          <w:color w:val="000000"/>
          <w:vertAlign w:val="super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будущей стоимости 1 у.е. через n лет используется таблица С-3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"501. К текущей (дисконтированной) стоимости аннуитета относится сумма текущих стоимостей каждой отдельной выплаты или поступления, включенных в аннуитет,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 = FV * f,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f - фактор дисконтирования таблица С-2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стоимость аннуитета может использоваться для определения текущей стоимости будущих поступлений или выплат в соответствии с контрактами по финансовой аренде, которые требуют равнозначных платежей на протяжении равных интервалов (минимальные арендные платежи).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Будущей стоимостью аннуитета является сумма будущих стоимостей каждой отдельной выплаты или поступления, включенных в аннуитет,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FV = PV * f,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 - фактор дисконтирования таблица С-4 по форме согласно приложению 7 к настоящим Правилам.";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 в Реестре государственной регистрации нормативных правовых актов под № 6505 опубликован в газете "Казахстанская правда" от 6 октября 2010 года № 263 (26324)):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6443) (далее – Правила бухгалтерского учета).";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учета.".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законодательном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 учреждениях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нормы износа</w:t>
      </w:r>
      <w:r>
        <w:br/>
      </w:r>
      <w:r>
        <w:rPr>
          <w:rFonts w:ascii="Times New Roman"/>
          <w:b/>
          <w:i w:val="false"/>
          <w:color w:val="000000"/>
        </w:rPr>
        <w:t>по долгосрочным активам государственных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группы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счета/субсчета по Плану счетов бухгалтерского учета государственных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нормы износа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(в % к первоначальной стоимости)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 (водокачки, стадионы, бассейны, дороги, мосты, памятники, ограждения парков, скверов и общественных садов, буровые скважины, штольни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59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 (зарегистрирован в Реестре государственной регистрации нормативных правовых актов под № 57957, опубликован в газете "Казахстанская правда" от 11 июня 2011 года № 185-186 (26606-26607)).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2011 года № 219 "О внесении изменения и дополнений в приказ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 (зарегистрирован в Реестре государственной регистрации нормативных правовых актов под № 6965, опубликован в газете "Казахстанская правда" от 29 июня 2011 года № 202 (26623)).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389 "О внесении изменений в приказ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 (зарегистрирован в Реестре государственной регистрации нормативных правовых актов под № 7105, опубликован в газете "Казахстанская правда" от 15 ноября 2011 года № 363-364 (26754-26755)).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