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2dec" w14:textId="b862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февраля 2016 года № 6001-16-7-6/31. Зарегистрирован в Министерстве юстиции Республики Казахстан 9 марта 2016 года № 13421.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(зарегистрированный в Реестре государственной регистрации нормативных правовых актов за № 12003, опубликованный 18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направление настоящего приказа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 судов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 Республики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(аппарата Верховного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 Казахстан)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6001-16-7-6/31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Pегламент государственной услуги "Апостилирование официальных</w:t>
      </w:r>
      <w:r>
        <w:br/>
      </w:r>
      <w:r>
        <w:rPr>
          <w:rFonts w:ascii="Times New Roman"/>
          <w:b/>
          <w:i w:val="false"/>
          <w:color w:val="000000"/>
        </w:rPr>
        <w:t>документов, исходящих из судебных органов"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официальных документов, исходящих из судебных органов" (далее – государственная услуга) оказывается на основании стандарта государственной услуги "Апостилирование официальных документов, исходящих из судебных органов",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(зарегистрированный в Реестре государственной регистрации нормативных правовых актов № 11584) (далее – стандарт) Департаментом по обеспечению деятельности судов при Верховном Суде Республики Казахстан (аппаратом Верховного Суда Республики Казахстан)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документ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сроки оказания государственной услуги с момента сдачи пакета документов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филиалах некоммерческого акционерного общества "Государственная корпорация "Правительство для граждан" (далее – Государственная корпорация), расположенных в городе Астане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других филиалов Государственной корпорации - 20 (двадцать)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государственной услуги является заявление услугополучателя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или работнику Государственной корпорации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услугодателя, осуществляющий оказание государственной услуги, принимает документы и в течение 30 (тридцати) минут проверяет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регистрирует установочные данные услугополучателя в журнале учета, проверяет подлинность официального документа, затем апостилирует представленный документ путем подписания и проставления печати либо осуществляет подготовку мотивированного письменного ответа об отказе в оказании государственной услуги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в течение 30 (тридцати) минут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почтовую связь: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необходимые для оказания государственной услуги, регистрирует в информационной системе судебных органов Республики Казахстан в течение 1 (одного) часа и передает сотруднику услугодателя, осуществляющему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услугодателя принимает документы и в течение 30 (тридцати) минут проверяет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регистрирует установочные данные услугополучателя в журнале учета, проверяет подлинность официального документа, затем апостилирует представленный документ путем подписания и проставления печати либо осуществляет подготовку мотивированного письменного ответа об отказе в оказании государственной услуги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конвертирует результат государственной услуги и не позднее 10.00 часов следующего рабочего дня передает его сотруднику канцелярии услугодателя для направления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 (трех) часов с момента получения результата оказания государственной услуги направляет его в Государственную корпорацию через курьера или почтовую связь.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- прием, регистрация в информационной системе судебных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услугодателя, осуществляющий оказание государственной услуги - прием документов, регистрация в журнале учета, проверка документов, подготовка, подпись, проставление печати и выдача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(сотрудниками с указанием длительности каждой процедуры) услугодателя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филиалы Государственной корпорации, расположенные в городе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сектора Государственной корпорации в день поступления документов подготавливает и передает документы курьеру Государственной корпорации, для направления услугодателю. День приема документов в срок оказания государственной услуги не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1 (одного) рабочего дня готовит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талона и при предъявлении документа, удостоверяющего личность и (или) доверенности, работник сектора Государственной корпорации выдает услугополучателю результат оказания государственной услуги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другие филиалы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сектора Государственной корпорации подготавливает документы в день их поступления и обеспечивает направление документов услугодателю в бумажном виде через почтовую связь в течение 6 (шести) рабочих дней. День приема документов в срок оказания государственной услуги не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при поступлении документов в течение 3 (трех) рабочих дней готовит результат оказания государственной услуги и обеспечивает направление в Государственную корпорацию результата оказания государственной услуги через почтовую связь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талона и при предъявлении документа, удостоверяющего личность и (или) доверенности, работник сектора Государственной корпорации выдает услугополучателю результат оказания государственной услуги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(оператором)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(оператором)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работником (оператором) Государственной корпорации документов в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канцелярией Государственной корпорации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услугодателем и направление апостилированного документа, исходящего из судебного органа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(оператором) Государственной корпорации услугополучателю апостилированного документа, исходящего из судебного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судебных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судебных</w:t>
      </w:r>
      <w:r>
        <w:br/>
      </w:r>
      <w:r>
        <w:rPr>
          <w:rFonts w:ascii="Times New Roman"/>
          <w:b/>
          <w:i w:val="false"/>
          <w:color w:val="000000"/>
        </w:rPr>
        <w:t>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филиалы Государственной корпорации: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