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94b3" w14:textId="1089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29 января 2016 года № 122. Зарегистрирован в Министерстве юстиции Республики Казахстан 9 марта 2016 года № 13418.</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27.08.2022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науки и высшего образования РК от 30.04.2025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1. Утвердить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27.08.2022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2. Признать утратившим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15" w:id="3"/>
    <w:p>
      <w:pPr>
        <w:spacing w:after="0"/>
        <w:ind w:left="0"/>
        <w:jc w:val="both"/>
      </w:pPr>
      <w:r>
        <w:rPr>
          <w:rFonts w:ascii="Times New Roman"/>
          <w:b w:val="false"/>
          <w:i w:val="false"/>
          <w:color w:val="000000"/>
          <w:sz w:val="28"/>
        </w:rPr>
        <w:t>
      3. Департаменту высшего и послевузовского образования, международного сотрудничества (Омирбаев С.М.) обеспечить в установленном законодательством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настоящих правил на официальном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3 настоящего приказа.</w:t>
      </w:r>
    </w:p>
    <w:bookmarkStart w:name="z16"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 Балыкбаева Т.О.</w:t>
      </w:r>
    </w:p>
    <w:bookmarkEnd w:id="4"/>
    <w:bookmarkStart w:name="z17"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 и науки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А. Саринжипов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122</w:t>
            </w:r>
          </w:p>
        </w:tc>
      </w:tr>
    </w:tbl>
    <w:bookmarkStart w:name="z25" w:id="6"/>
    <w:p>
      <w:pPr>
        <w:spacing w:after="0"/>
        <w:ind w:left="0"/>
        <w:jc w:val="left"/>
      </w:pPr>
      <w:r>
        <w:rPr>
          <w:rFonts w:ascii="Times New Roman"/>
          <w:b/>
          <w:i w:val="false"/>
          <w:color w:val="000000"/>
        </w:rPr>
        <w:t xml:space="preserve">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6"/>
    <w:p>
      <w:pPr>
        <w:spacing w:after="0"/>
        <w:ind w:left="0"/>
        <w:jc w:val="both"/>
      </w:pPr>
      <w:r>
        <w:rPr>
          <w:rFonts w:ascii="Times New Roman"/>
          <w:b w:val="false"/>
          <w:i w:val="false"/>
          <w:color w:val="ff0000"/>
          <w:sz w:val="28"/>
        </w:rPr>
        <w:t xml:space="preserve">
      Сноска. Правила - в редакции приказа и.о. Министра науки и высшего образования РК от 30.04.2025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9" w:id="7"/>
    <w:p>
      <w:pPr>
        <w:spacing w:after="0"/>
        <w:ind w:left="0"/>
        <w:jc w:val="left"/>
      </w:pPr>
      <w:r>
        <w:rPr>
          <w:rFonts w:ascii="Times New Roman"/>
          <w:b/>
          <w:i w:val="false"/>
          <w:color w:val="000000"/>
        </w:rPr>
        <w:t xml:space="preserve"> Глава 1. Общие положения</w:t>
      </w:r>
    </w:p>
    <w:bookmarkEnd w:id="7"/>
    <w:bookmarkStart w:name="z290" w:id="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55)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8"/>
    <w:bookmarkStart w:name="z291" w:id="9"/>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9"/>
    <w:bookmarkStart w:name="z292" w:id="10"/>
    <w:p>
      <w:pPr>
        <w:spacing w:after="0"/>
        <w:ind w:left="0"/>
        <w:jc w:val="both"/>
      </w:pPr>
      <w:r>
        <w:rPr>
          <w:rFonts w:ascii="Times New Roman"/>
          <w:b w:val="false"/>
          <w:i w:val="false"/>
          <w:color w:val="000000"/>
          <w:sz w:val="28"/>
        </w:rPr>
        <w:t xml:space="preserve">
      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Республики Казахстан "Об образовании" (далее – Закон), своих обязанностей по отработке или возмещению расходов бюджетных средств в случае неотработки (далее – Оператор);</w:t>
      </w:r>
    </w:p>
    <w:bookmarkEnd w:id="10"/>
    <w:bookmarkStart w:name="z293" w:id="11"/>
    <w:p>
      <w:pPr>
        <w:spacing w:after="0"/>
        <w:ind w:left="0"/>
        <w:jc w:val="both"/>
      </w:pPr>
      <w:r>
        <w:rPr>
          <w:rFonts w:ascii="Times New Roman"/>
          <w:b w:val="false"/>
          <w:i w:val="false"/>
          <w:color w:val="000000"/>
          <w:sz w:val="28"/>
        </w:rPr>
        <w:t>
      2) организация высшего и (или) послевузовского образования (далее – ОВПО)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11"/>
    <w:bookmarkStart w:name="z294" w:id="12"/>
    <w:p>
      <w:pPr>
        <w:spacing w:after="0"/>
        <w:ind w:left="0"/>
        <w:jc w:val="both"/>
      </w:pPr>
      <w:r>
        <w:rPr>
          <w:rFonts w:ascii="Times New Roman"/>
          <w:b w:val="false"/>
          <w:i w:val="false"/>
          <w:color w:val="000000"/>
          <w:sz w:val="28"/>
        </w:rPr>
        <w:t xml:space="preserve">
      3. Государственный образовательный заказ на подготовку кадров с высшим и послевузовским образованием, сформированный и распределенный по группам образовательных программ с учетом прогнозной потребности экономики в кадрах, в том числе отраслевой и региональной потребности, приоритетов индустриально-инновационного развития страны, потребностей ОВПО и научных организаций в научно-педагогических кадрах, размещается среди ОВПО, в том числе международных и иностранных учебных заведений в Республике Казахстан и (или) их филиалов, входящих в топ-250 международных академических рейтингов (Quacquarelli Symonds (далее – QS), Academic Ranking of World Universities (далее – ARWU), Times Higher Education (далее – THE) и/или топ-100 национальных рейтингов стран Организации экономического сотрудничества и развития (далее –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по результатам конкурса.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науки и высшего образования РК от 07.04.2026 </w:t>
      </w:r>
      <w:r>
        <w:rPr>
          <w:rFonts w:ascii="Times New Roman"/>
          <w:b w:val="false"/>
          <w:i w:val="false"/>
          <w:color w:val="ff0000"/>
          <w:sz w:val="28"/>
        </w:rPr>
        <w:t>№ 173</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Государственный образовательный заказ на финансирование высшего или послевузовского образования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Start w:name="z296" w:id="13"/>
    <w:p>
      <w:pPr>
        <w:spacing w:after="0"/>
        <w:ind w:left="0"/>
        <w:jc w:val="both"/>
      </w:pPr>
      <w:r>
        <w:rPr>
          <w:rFonts w:ascii="Times New Roman"/>
          <w:b w:val="false"/>
          <w:i w:val="false"/>
          <w:color w:val="000000"/>
          <w:sz w:val="28"/>
        </w:rPr>
        <w:t>
      Государственный образовательный заказ на подготовку кадров с высшим образованием (бакалавриат) и подготовку магистров размещается в ОВПО независимо от формы собственности в виде образовательных грантов по результатам конкурса, проводимого уполномоченным органом в области науки и высшего образования.</w:t>
      </w:r>
    </w:p>
    <w:bookmarkEnd w:id="13"/>
    <w:bookmarkStart w:name="z297" w:id="14"/>
    <w:p>
      <w:pPr>
        <w:spacing w:after="0"/>
        <w:ind w:left="0"/>
        <w:jc w:val="both"/>
      </w:pPr>
      <w:r>
        <w:rPr>
          <w:rFonts w:ascii="Times New Roman"/>
          <w:b w:val="false"/>
          <w:i w:val="false"/>
          <w:color w:val="000000"/>
          <w:sz w:val="28"/>
        </w:rPr>
        <w:t>
      Государственный образовательный заказ на подготовку докторов философии (PhD)/докторов по профилю/докторов индустрии, в том числе на целевую подготовку для региональных ОВПО и научных организаций, государственных органов размещается на конкурсной основе независимо от формы собственности в ОВПО.</w:t>
      </w:r>
    </w:p>
    <w:bookmarkEnd w:id="14"/>
    <w:bookmarkStart w:name="z298" w:id="15"/>
    <w:p>
      <w:pPr>
        <w:spacing w:after="0"/>
        <w:ind w:left="0"/>
        <w:jc w:val="both"/>
      </w:pPr>
      <w:r>
        <w:rPr>
          <w:rFonts w:ascii="Times New Roman"/>
          <w:b w:val="false"/>
          <w:i w:val="false"/>
          <w:color w:val="000000"/>
          <w:sz w:val="28"/>
        </w:rPr>
        <w:t>
      5. Государственный образовательный заказ для обучения слушателей на подготовительных отделениях размещается в ОВПО по результатам конкурса, проводимого уполномоченным органом в области науки и высшего образования.</w:t>
      </w:r>
    </w:p>
    <w:bookmarkEnd w:id="15"/>
    <w:bookmarkStart w:name="z299" w:id="16"/>
    <w:p>
      <w:pPr>
        <w:spacing w:after="0"/>
        <w:ind w:left="0"/>
        <w:jc w:val="both"/>
      </w:pPr>
      <w:r>
        <w:rPr>
          <w:rFonts w:ascii="Times New Roman"/>
          <w:b w:val="false"/>
          <w:i w:val="false"/>
          <w:color w:val="000000"/>
          <w:sz w:val="28"/>
        </w:rPr>
        <w:t>
      6. Уполномоченные органы в области науки и высшего образования, культуры, здравоохранения (далее – уполномоченные органы), а также местные исполнительные органы областей, городов республиканского значения, столицы (далее – МИО) осуществляют размещение государственного образовательного заказа на подготовку кадров с высшим и послевузовским образованием в порядке, предусмотренном настоящими Правилами.</w:t>
      </w:r>
    </w:p>
    <w:bookmarkEnd w:id="16"/>
    <w:p>
      <w:pPr>
        <w:spacing w:after="0"/>
        <w:ind w:left="0"/>
        <w:jc w:val="both"/>
      </w:pPr>
      <w:r>
        <w:rPr>
          <w:rFonts w:ascii="Times New Roman"/>
          <w:b w:val="false"/>
          <w:i w:val="false"/>
          <w:color w:val="000000"/>
          <w:sz w:val="28"/>
        </w:rPr>
        <w:t>
      При этом МИО размещает государственный образовательный заказ на подготовку кадров с высшим и послевузовским образованием с учетом предложений региональных палат предпринимателей и заинтересованных организаций, в пределах объемов бюджетных средств, предусмотренных в местных бюджетах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17"/>
    <w:p>
      <w:pPr>
        <w:spacing w:after="0"/>
        <w:ind w:left="0"/>
        <w:jc w:val="both"/>
      </w:pPr>
      <w:r>
        <w:rPr>
          <w:rFonts w:ascii="Times New Roman"/>
          <w:b w:val="false"/>
          <w:i w:val="false"/>
          <w:color w:val="000000"/>
          <w:sz w:val="28"/>
        </w:rPr>
        <w:t>
      6-1. Оператор осуществляет финансирование ОВПО, в которых размещен государственный образовательный заказ на подготовку кадров с высшим и послевузовским образованием в пределах средств, предусмотренных в соответствующих бюджетных программах, администратором которых выступает уполномоченный орган в области науки и высшего образования.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18"/>
    <w:p>
      <w:pPr>
        <w:spacing w:after="0"/>
        <w:ind w:left="0"/>
        <w:jc w:val="left"/>
      </w:pPr>
      <w:r>
        <w:rPr>
          <w:rFonts w:ascii="Times New Roman"/>
          <w:b/>
          <w:i w:val="false"/>
          <w:color w:val="000000"/>
        </w:rPr>
        <w:t xml:space="preserve"> Глава 2. Порядок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ОВПО</w:t>
      </w:r>
    </w:p>
    <w:bookmarkEnd w:id="18"/>
    <w:bookmarkStart w:name="z301" w:id="19"/>
    <w:p>
      <w:pPr>
        <w:spacing w:after="0"/>
        <w:ind w:left="0"/>
        <w:jc w:val="both"/>
      </w:pPr>
      <w:r>
        <w:rPr>
          <w:rFonts w:ascii="Times New Roman"/>
          <w:b w:val="false"/>
          <w:i w:val="false"/>
          <w:color w:val="000000"/>
          <w:sz w:val="28"/>
        </w:rPr>
        <w:t xml:space="preserve">
      7. Государственный образовательный заказ на подготовку кадров с высшим и послевузовским образованием размещается в рамках подушевого нормативного финансирования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33056).</w:t>
      </w:r>
    </w:p>
    <w:bookmarkEnd w:id="19"/>
    <w:bookmarkStart w:name="z302" w:id="20"/>
    <w:p>
      <w:pPr>
        <w:spacing w:after="0"/>
        <w:ind w:left="0"/>
        <w:jc w:val="left"/>
      </w:pPr>
      <w:r>
        <w:rPr>
          <w:rFonts w:ascii="Times New Roman"/>
          <w:b/>
          <w:i w:val="false"/>
          <w:color w:val="000000"/>
        </w:rPr>
        <w:t xml:space="preserve"> Параграф 1. Порядок формирования перечня потенциальных поставщиков услуг по подготовке кадров с высшим и послевузовским образованием</w:t>
      </w:r>
    </w:p>
    <w:bookmarkEnd w:id="20"/>
    <w:bookmarkStart w:name="z304" w:id="21"/>
    <w:p>
      <w:pPr>
        <w:spacing w:after="0"/>
        <w:ind w:left="0"/>
        <w:jc w:val="both"/>
      </w:pPr>
      <w:r>
        <w:rPr>
          <w:rFonts w:ascii="Times New Roman"/>
          <w:b w:val="false"/>
          <w:i w:val="false"/>
          <w:color w:val="000000"/>
          <w:sz w:val="28"/>
        </w:rPr>
        <w:t>
      8. Для размещения государственного образовательного заказа на подготовку кадров с высшим и послевузовским образованием, уполномоченные органы и МИО на конкурсной основе формируют перечень ОВПО, в которых по итогам конкурса размещается государственный образовательный заказ на подготовку кадров с высшим и послевузовским образованием.</w:t>
      </w:r>
    </w:p>
    <w:bookmarkEnd w:id="21"/>
    <w:p>
      <w:pPr>
        <w:spacing w:after="0"/>
        <w:ind w:left="0"/>
        <w:jc w:val="both"/>
      </w:pPr>
      <w:r>
        <w:rPr>
          <w:rFonts w:ascii="Times New Roman"/>
          <w:b w:val="false"/>
          <w:i w:val="false"/>
          <w:color w:val="000000"/>
          <w:sz w:val="28"/>
        </w:rPr>
        <w:t>
      Решение о проведении конкурса оформляется приказом первого руководителя или лица, исполняющего его обязанности и решением акима или лица, исполняющего его обязанности, с указанием сроков его проведения. Решение о продлении сроков проведения конкурса принимается уполномоченными органами и МИО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2"/>
    <w:p>
      <w:pPr>
        <w:spacing w:after="0"/>
        <w:ind w:left="0"/>
        <w:jc w:val="both"/>
      </w:pPr>
      <w:r>
        <w:rPr>
          <w:rFonts w:ascii="Times New Roman"/>
          <w:b w:val="false"/>
          <w:i w:val="false"/>
          <w:color w:val="000000"/>
          <w:sz w:val="28"/>
        </w:rPr>
        <w:t xml:space="preserve">
      9. Объявление о проведении конкурса публикуется на официальных интернет-ресурсах уполномоченных органов и МИО. </w:t>
      </w:r>
    </w:p>
    <w:bookmarkEnd w:id="22"/>
    <w:p>
      <w:pPr>
        <w:spacing w:after="0"/>
        <w:ind w:left="0"/>
        <w:jc w:val="both"/>
      </w:pPr>
      <w:r>
        <w:rPr>
          <w:rFonts w:ascii="Times New Roman"/>
          <w:b w:val="false"/>
          <w:i w:val="false"/>
          <w:color w:val="000000"/>
          <w:sz w:val="28"/>
        </w:rPr>
        <w:t>
      Прием конкурсных заявок ОВПО по форме согласно приложению к Правилам (далее – конкурсная заявка) осуществляется в течение 10 (десяти) рабочих дней со дня публикации объявления.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23"/>
    <w:p>
      <w:pPr>
        <w:spacing w:after="0"/>
        <w:ind w:left="0"/>
        <w:jc w:val="both"/>
      </w:pPr>
      <w:r>
        <w:rPr>
          <w:rFonts w:ascii="Times New Roman"/>
          <w:b w:val="false"/>
          <w:i w:val="false"/>
          <w:color w:val="000000"/>
          <w:sz w:val="28"/>
        </w:rPr>
        <w:t>
      10. Для проведения Конкурса создается Комиссия по размещению государственного образовательного заказа на подготовку кадров в организациях высшего и (или) послевузовского образования (далее – Комиссия), состав которой утверждается приказом первого руководителя или лица, исполняющего его обязанности и решением акима или лица, исполняющего его обязанности в количестве не менее 5 ее членов и председателя.</w:t>
      </w:r>
    </w:p>
    <w:bookmarkEnd w:id="23"/>
    <w:p>
      <w:pPr>
        <w:spacing w:after="0"/>
        <w:ind w:left="0"/>
        <w:jc w:val="both"/>
      </w:pPr>
      <w:r>
        <w:rPr>
          <w:rFonts w:ascii="Times New Roman"/>
          <w:b w:val="false"/>
          <w:i w:val="false"/>
          <w:color w:val="000000"/>
          <w:sz w:val="28"/>
        </w:rPr>
        <w:t>
      Комиссия уполномоченного органа в области науки и высшего образования формируется из числа сотрудников уполномоченного органа в области науки и высшего образования, заинтересованных государственных органов и ведомств, Национальной палаты предпринимателей Республики Казахстан, отраслевых ассоциаций, Ассоциации высших учебных заведений Республики Казахстан. Большинством голосов из числа членов Комиссии по формированию перечня избирается председатель. Количество состава Комиссии является нечетным, включая ее председателя.</w:t>
      </w:r>
    </w:p>
    <w:p>
      <w:pPr>
        <w:spacing w:after="0"/>
        <w:ind w:left="0"/>
        <w:jc w:val="both"/>
      </w:pPr>
      <w:r>
        <w:rPr>
          <w:rFonts w:ascii="Times New Roman"/>
          <w:b w:val="false"/>
          <w:i w:val="false"/>
          <w:color w:val="000000"/>
          <w:sz w:val="28"/>
        </w:rPr>
        <w:t>
      Определение состава Комиссии осуществляется уполномоченными органами в области культуры, здравоохранения и МИО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4"/>
    <w:p>
      <w:pPr>
        <w:spacing w:after="0"/>
        <w:ind w:left="0"/>
        <w:jc w:val="both"/>
      </w:pPr>
      <w:r>
        <w:rPr>
          <w:rFonts w:ascii="Times New Roman"/>
          <w:b w:val="false"/>
          <w:i w:val="false"/>
          <w:color w:val="000000"/>
          <w:sz w:val="28"/>
        </w:rPr>
        <w:t>
      11. Заседания Комиссии считаются действительными, если на них присутствуют более 2/3 (двух третей) от общего числа ее членов.</w:t>
      </w:r>
    </w:p>
    <w:bookmarkEnd w:id="24"/>
    <w:bookmarkStart w:name="z310" w:id="25"/>
    <w:p>
      <w:pPr>
        <w:spacing w:after="0"/>
        <w:ind w:left="0"/>
        <w:jc w:val="both"/>
      </w:pPr>
      <w:r>
        <w:rPr>
          <w:rFonts w:ascii="Times New Roman"/>
          <w:b w:val="false"/>
          <w:i w:val="false"/>
          <w:color w:val="000000"/>
          <w:sz w:val="28"/>
        </w:rPr>
        <w:t>
      12.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председателем. При равенстве голосов, голос председателя является решающим.</w:t>
      </w:r>
    </w:p>
    <w:bookmarkEnd w:id="25"/>
    <w:bookmarkStart w:name="z311" w:id="26"/>
    <w:p>
      <w:pPr>
        <w:spacing w:after="0"/>
        <w:ind w:left="0"/>
        <w:jc w:val="both"/>
      </w:pPr>
      <w:r>
        <w:rPr>
          <w:rFonts w:ascii="Times New Roman"/>
          <w:b w:val="false"/>
          <w:i w:val="false"/>
          <w:color w:val="000000"/>
          <w:sz w:val="28"/>
        </w:rPr>
        <w:t xml:space="preserve">
      13. Для участия в конкурсе на размещение государственного образовательного заказа на подготовку кадров с высшим и послевузовским образованием ОВПО подает в электронном формате конкурсную заявку и заполняет информационную карту ОВПО по форме согласно </w:t>
      </w:r>
      <w:r>
        <w:rPr>
          <w:rFonts w:ascii="Times New Roman"/>
          <w:b w:val="false"/>
          <w:i w:val="false"/>
          <w:color w:val="000000"/>
          <w:sz w:val="28"/>
        </w:rPr>
        <w:t>приложению</w:t>
      </w:r>
      <w:r>
        <w:rPr>
          <w:rFonts w:ascii="Times New Roman"/>
          <w:b w:val="false"/>
          <w:i w:val="false"/>
          <w:color w:val="000000"/>
          <w:sz w:val="28"/>
        </w:rPr>
        <w:t>, к Правилам;</w:t>
      </w:r>
    </w:p>
    <w:bookmarkEnd w:id="26"/>
    <w:bookmarkStart w:name="z312" w:id="27"/>
    <w:p>
      <w:pPr>
        <w:spacing w:after="0"/>
        <w:ind w:left="0"/>
        <w:jc w:val="both"/>
      </w:pPr>
      <w:r>
        <w:rPr>
          <w:rFonts w:ascii="Times New Roman"/>
          <w:b w:val="false"/>
          <w:i w:val="false"/>
          <w:color w:val="000000"/>
          <w:sz w:val="28"/>
        </w:rPr>
        <w:t>
      При возникновении вопросов по показателям информационной карты, представленными ОВПО, Комиссия запрашивает подтверждающие документы.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науки и высшего образования РК от 07.04.2026 </w:t>
      </w:r>
      <w:r>
        <w:rPr>
          <w:rFonts w:ascii="Times New Roman"/>
          <w:b w:val="false"/>
          <w:i w:val="false"/>
          <w:color w:val="ff0000"/>
          <w:sz w:val="28"/>
        </w:rPr>
        <w:t>№ 173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Документы, входящие в конкурсную заявку, заполняются в информационной системе и подписываются ЭЦП руководителем ОВПО в порядке, указанном в объявлении о проведении конкурса.</w:t>
      </w:r>
    </w:p>
    <w:bookmarkStart w:name="z314" w:id="28"/>
    <w:p>
      <w:pPr>
        <w:spacing w:after="0"/>
        <w:ind w:left="0"/>
        <w:jc w:val="both"/>
      </w:pPr>
      <w:r>
        <w:rPr>
          <w:rFonts w:ascii="Times New Roman"/>
          <w:b w:val="false"/>
          <w:i w:val="false"/>
          <w:color w:val="000000"/>
          <w:sz w:val="28"/>
        </w:rPr>
        <w:t>
      При этом представленные ОВПО сведения сверяются на предмет соответствия данных информационной системы "Единая платформа высшего образования" (далее – ЕПВО).</w:t>
      </w:r>
    </w:p>
    <w:bookmarkEnd w:id="28"/>
    <w:bookmarkStart w:name="z315" w:id="29"/>
    <w:p>
      <w:pPr>
        <w:spacing w:after="0"/>
        <w:ind w:left="0"/>
        <w:jc w:val="both"/>
      </w:pPr>
      <w:r>
        <w:rPr>
          <w:rFonts w:ascii="Times New Roman"/>
          <w:b w:val="false"/>
          <w:i w:val="false"/>
          <w:color w:val="000000"/>
          <w:sz w:val="28"/>
        </w:rPr>
        <w:t xml:space="preserve">
      15. ОВПО формирует конкурсную заявку в электронном формате не позднее часа и даты, указанных в объявлении о проведении конкурса. </w:t>
      </w:r>
    </w:p>
    <w:bookmarkEnd w:id="29"/>
    <w:bookmarkStart w:name="z316" w:id="30"/>
    <w:p>
      <w:pPr>
        <w:spacing w:after="0"/>
        <w:ind w:left="0"/>
        <w:jc w:val="both"/>
      </w:pPr>
      <w:r>
        <w:rPr>
          <w:rFonts w:ascii="Times New Roman"/>
          <w:b w:val="false"/>
          <w:i w:val="false"/>
          <w:color w:val="000000"/>
          <w:sz w:val="28"/>
        </w:rPr>
        <w:t>
      Конкурсная заявка, поступившая по истечению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30"/>
    <w:bookmarkStart w:name="z317" w:id="31"/>
    <w:p>
      <w:pPr>
        <w:spacing w:after="0"/>
        <w:ind w:left="0"/>
        <w:jc w:val="both"/>
      </w:pPr>
      <w:r>
        <w:rPr>
          <w:rFonts w:ascii="Times New Roman"/>
          <w:b w:val="false"/>
          <w:i w:val="false"/>
          <w:color w:val="000000"/>
          <w:sz w:val="28"/>
        </w:rPr>
        <w:t>
      16. Уполномоченный орган в области науки и высшего образования формирует конкурсную документацию ОВПО и определяет степень их соответствия для рассмотрения Комиссией. Комиссия по итогам рассмотрения конкурсной документации выносит решение о размещении (не размещении) государственного образовательного заказа на подготовку кадров с высшим и послевузовским образованием, а также на подготовительные отделения.</w:t>
      </w:r>
    </w:p>
    <w:bookmarkEnd w:id="31"/>
    <w:bookmarkStart w:name="z318" w:id="32"/>
    <w:p>
      <w:pPr>
        <w:spacing w:after="0"/>
        <w:ind w:left="0"/>
        <w:jc w:val="both"/>
      </w:pPr>
      <w:r>
        <w:rPr>
          <w:rFonts w:ascii="Times New Roman"/>
          <w:b w:val="false"/>
          <w:i w:val="false"/>
          <w:color w:val="000000"/>
          <w:sz w:val="28"/>
        </w:rPr>
        <w:t xml:space="preserve">
      17. В конкурсе по формированию перечня ОВПО, в которых размещается государственный образовательный заказ на подготовку кадров с высшим и послевузовским образованием, по группам образовательных программ (направлений подготовки) участвуют ОВПО, имеющие лицензию и (или) приложения к лицензии на занятие образовательной деятельностью, прошедшие институциональную и (или) специализированную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 Международные и иностранные учебные заведения в Республике Казахстан и (или) их филиалы, входящие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участвуют в конкурсе на основании разрешительных документов на ведение образовательной деятельности и аккредитации головного вуза страны регистрации.</w:t>
      </w:r>
    </w:p>
    <w:bookmarkEnd w:id="32"/>
    <w:bookmarkStart w:name="z319" w:id="33"/>
    <w:p>
      <w:pPr>
        <w:spacing w:after="0"/>
        <w:ind w:left="0"/>
        <w:jc w:val="both"/>
      </w:pPr>
      <w:r>
        <w:rPr>
          <w:rFonts w:ascii="Times New Roman"/>
          <w:b w:val="false"/>
          <w:i w:val="false"/>
          <w:color w:val="000000"/>
          <w:sz w:val="28"/>
        </w:rPr>
        <w:t xml:space="preserve">
      Пороговое значение показателя трудоустройства выпускников ОВПО определяется Комиссией. </w:t>
      </w:r>
    </w:p>
    <w:bookmarkEnd w:id="33"/>
    <w:bookmarkStart w:name="z320" w:id="34"/>
    <w:p>
      <w:pPr>
        <w:spacing w:after="0"/>
        <w:ind w:left="0"/>
        <w:jc w:val="both"/>
      </w:pPr>
      <w:r>
        <w:rPr>
          <w:rFonts w:ascii="Times New Roman"/>
          <w:b w:val="false"/>
          <w:i w:val="false"/>
          <w:color w:val="000000"/>
          <w:sz w:val="28"/>
        </w:rPr>
        <w:t xml:space="preserve">
      Исключение составляют новые направления подготовки кадров, впервые получившие лицензию, вновь созданные ОВПО для подготовки кадров с высшим и послевузовским образованием, а также международные и иностранные учебные заведения в Республике Казахстан и (или) их филиалы, входящие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При этом, перечень ОВПО определяется Комиссией.</w:t>
      </w:r>
    </w:p>
    <w:bookmarkEnd w:id="34"/>
    <w:bookmarkStart w:name="z321" w:id="35"/>
    <w:p>
      <w:pPr>
        <w:spacing w:after="0"/>
        <w:ind w:left="0"/>
        <w:jc w:val="both"/>
      </w:pPr>
      <w:r>
        <w:rPr>
          <w:rFonts w:ascii="Times New Roman"/>
          <w:b w:val="false"/>
          <w:i w:val="false"/>
          <w:color w:val="000000"/>
          <w:sz w:val="28"/>
        </w:rPr>
        <w:t>
      18. Государственный образовательный заказ на подготовку кадров с высшим и послевузовским образованием не размещается в ОВПО в случаях:</w:t>
      </w:r>
    </w:p>
    <w:bookmarkEnd w:id="35"/>
    <w:bookmarkStart w:name="z322" w:id="36"/>
    <w:p>
      <w:pPr>
        <w:spacing w:after="0"/>
        <w:ind w:left="0"/>
        <w:jc w:val="both"/>
      </w:pPr>
      <w:r>
        <w:rPr>
          <w:rFonts w:ascii="Times New Roman"/>
          <w:b w:val="false"/>
          <w:i w:val="false"/>
          <w:color w:val="000000"/>
          <w:sz w:val="28"/>
        </w:rPr>
        <w:t>
      1) приостановлении действия лицензии и (или) приложения к лицензии на занятие образовательной деятельностью:</w:t>
      </w:r>
    </w:p>
    <w:bookmarkEnd w:id="36"/>
    <w:bookmarkStart w:name="z323" w:id="37"/>
    <w:p>
      <w:pPr>
        <w:spacing w:after="0"/>
        <w:ind w:left="0"/>
        <w:jc w:val="both"/>
      </w:pPr>
      <w:r>
        <w:rPr>
          <w:rFonts w:ascii="Times New Roman"/>
          <w:b w:val="false"/>
          <w:i w:val="false"/>
          <w:color w:val="000000"/>
          <w:sz w:val="28"/>
        </w:rPr>
        <w:t>
      2) отсутствия или исключения образовательной программы из Реестра образовательных программ уполномоченного органа в области науки и высшего образования на соответствующую группу образовательных программ.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науки и высшего образования РК от 07.04.2026 </w:t>
      </w:r>
      <w:r>
        <w:rPr>
          <w:rFonts w:ascii="Times New Roman"/>
          <w:b w:val="false"/>
          <w:i w:val="false"/>
          <w:color w:val="ff0000"/>
          <w:sz w:val="28"/>
        </w:rPr>
        <w:t>№ 173</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При формировании перечня ОВПО, в которых размещается государственный образовательный заказ на подготовку кадров с высшим и послевузовским (научно-педагогическая/профильная магистратура) образованием, в том числе для отдельных ОВПО Комиссией учитываются:</w:t>
      </w:r>
    </w:p>
    <w:bookmarkStart w:name="z325" w:id="38"/>
    <w:p>
      <w:pPr>
        <w:spacing w:after="0"/>
        <w:ind w:left="0"/>
        <w:jc w:val="both"/>
      </w:pPr>
      <w:r>
        <w:rPr>
          <w:rFonts w:ascii="Times New Roman"/>
          <w:b w:val="false"/>
          <w:i w:val="false"/>
          <w:color w:val="000000"/>
          <w:sz w:val="28"/>
        </w:rPr>
        <w:t>
      1) наличие контингента обучающихся по соответствующей группе образовательных программ, за исключением направлений, внесенных впервые в Классификатор направлений подготовки кадров с высшим и послевузовским образованием Республики Казахстан;</w:t>
      </w:r>
    </w:p>
    <w:bookmarkEnd w:id="38"/>
    <w:bookmarkStart w:name="z326" w:id="39"/>
    <w:p>
      <w:pPr>
        <w:spacing w:after="0"/>
        <w:ind w:left="0"/>
        <w:jc w:val="both"/>
      </w:pPr>
      <w:r>
        <w:rPr>
          <w:rFonts w:ascii="Times New Roman"/>
          <w:b w:val="false"/>
          <w:i w:val="false"/>
          <w:color w:val="000000"/>
          <w:sz w:val="28"/>
        </w:rPr>
        <w:t>
      2) кадровое обеспечение ОВПО и материально-техническое обеспечение научно-образовательного процесса;</w:t>
      </w:r>
    </w:p>
    <w:bookmarkEnd w:id="39"/>
    <w:bookmarkStart w:name="z327" w:id="40"/>
    <w:p>
      <w:pPr>
        <w:spacing w:after="0"/>
        <w:ind w:left="0"/>
        <w:jc w:val="both"/>
      </w:pPr>
      <w:r>
        <w:rPr>
          <w:rFonts w:ascii="Times New Roman"/>
          <w:b w:val="false"/>
          <w:i w:val="false"/>
          <w:color w:val="000000"/>
          <w:sz w:val="28"/>
        </w:rPr>
        <w:t>
      3) обеспеченность учебной, учебно-методической литературой и иными информационными ресурсами;</w:t>
      </w:r>
    </w:p>
    <w:bookmarkEnd w:id="40"/>
    <w:bookmarkStart w:name="z328" w:id="41"/>
    <w:p>
      <w:pPr>
        <w:spacing w:after="0"/>
        <w:ind w:left="0"/>
        <w:jc w:val="both"/>
      </w:pPr>
      <w:r>
        <w:rPr>
          <w:rFonts w:ascii="Times New Roman"/>
          <w:b w:val="false"/>
          <w:i w:val="false"/>
          <w:color w:val="000000"/>
          <w:sz w:val="28"/>
        </w:rPr>
        <w:t>
      4) научный потенциал и уровень проводимых в ОВПО научных исследований (для ОВПО);</w:t>
      </w:r>
    </w:p>
    <w:bookmarkEnd w:id="41"/>
    <w:bookmarkStart w:name="z329" w:id="42"/>
    <w:p>
      <w:pPr>
        <w:spacing w:after="0"/>
        <w:ind w:left="0"/>
        <w:jc w:val="both"/>
      </w:pPr>
      <w:r>
        <w:rPr>
          <w:rFonts w:ascii="Times New Roman"/>
          <w:b w:val="false"/>
          <w:i w:val="false"/>
          <w:color w:val="000000"/>
          <w:sz w:val="28"/>
        </w:rPr>
        <w:t>
      5) наличие мест для проживания иногородних обучающихся в общежитии и/или договоров с хостелами/ гостиницами, пунктов общественного питания и медицинского обслуживания;</w:t>
      </w:r>
    </w:p>
    <w:bookmarkEnd w:id="42"/>
    <w:bookmarkStart w:name="z330" w:id="43"/>
    <w:p>
      <w:pPr>
        <w:spacing w:after="0"/>
        <w:ind w:left="0"/>
        <w:jc w:val="both"/>
      </w:pPr>
      <w:r>
        <w:rPr>
          <w:rFonts w:ascii="Times New Roman"/>
          <w:b w:val="false"/>
          <w:i w:val="false"/>
          <w:color w:val="000000"/>
          <w:sz w:val="28"/>
        </w:rPr>
        <w:t xml:space="preserve">
      6) наличие аккредитованных образовательных программ, за исключением международных и иностранных учебных заведений в Республике Казахстан и (или) их филиалов,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43"/>
    <w:bookmarkStart w:name="z331" w:id="44"/>
    <w:p>
      <w:pPr>
        <w:spacing w:after="0"/>
        <w:ind w:left="0"/>
        <w:jc w:val="both"/>
      </w:pPr>
      <w:r>
        <w:rPr>
          <w:rFonts w:ascii="Times New Roman"/>
          <w:b w:val="false"/>
          <w:i w:val="false"/>
          <w:color w:val="000000"/>
          <w:sz w:val="28"/>
        </w:rPr>
        <w:t>
      7) сведения о трудоустройстве и занятости выпускников в первый год после окончания ОВПО по заявленным группам образовательных программ;</w:t>
      </w:r>
    </w:p>
    <w:bookmarkEnd w:id="44"/>
    <w:bookmarkStart w:name="z332" w:id="45"/>
    <w:p>
      <w:pPr>
        <w:spacing w:after="0"/>
        <w:ind w:left="0"/>
        <w:jc w:val="both"/>
      </w:pPr>
      <w:r>
        <w:rPr>
          <w:rFonts w:ascii="Times New Roman"/>
          <w:b w:val="false"/>
          <w:i w:val="false"/>
          <w:color w:val="000000"/>
          <w:sz w:val="28"/>
        </w:rPr>
        <w:t>
      8) участие в международном рейтинге ОВПО;</w:t>
      </w:r>
    </w:p>
    <w:bookmarkEnd w:id="45"/>
    <w:bookmarkStart w:name="z333" w:id="46"/>
    <w:p>
      <w:pPr>
        <w:spacing w:after="0"/>
        <w:ind w:left="0"/>
        <w:jc w:val="both"/>
      </w:pPr>
      <w:r>
        <w:rPr>
          <w:rFonts w:ascii="Times New Roman"/>
          <w:b w:val="false"/>
          <w:i w:val="false"/>
          <w:color w:val="000000"/>
          <w:sz w:val="28"/>
        </w:rPr>
        <w:t xml:space="preserve">
      9) позиция ОВПО в рейтинге образовательных программ, проводимого Национальной палатой предпринимателей Республики Казахстан; </w:t>
      </w:r>
    </w:p>
    <w:bookmarkEnd w:id="46"/>
    <w:bookmarkStart w:name="z334" w:id="47"/>
    <w:p>
      <w:pPr>
        <w:spacing w:after="0"/>
        <w:ind w:left="0"/>
        <w:jc w:val="both"/>
      </w:pPr>
      <w:r>
        <w:rPr>
          <w:rFonts w:ascii="Times New Roman"/>
          <w:b w:val="false"/>
          <w:i w:val="false"/>
          <w:color w:val="000000"/>
          <w:sz w:val="28"/>
        </w:rPr>
        <w:t>
      10) соответствие сведений в ЕПВО фактическим данным;</w:t>
      </w:r>
    </w:p>
    <w:bookmarkEnd w:id="47"/>
    <w:bookmarkStart w:name="z335" w:id="48"/>
    <w:p>
      <w:pPr>
        <w:spacing w:after="0"/>
        <w:ind w:left="0"/>
        <w:jc w:val="both"/>
      </w:pPr>
      <w:r>
        <w:rPr>
          <w:rFonts w:ascii="Times New Roman"/>
          <w:b w:val="false"/>
          <w:i w:val="false"/>
          <w:color w:val="000000"/>
          <w:sz w:val="28"/>
        </w:rPr>
        <w:t xml:space="preserve">
      11) наличие двудипломных или совместных образовательных программ с международными и иностранными учебными заведениями в Республике Казахстан и (или) их филиалами,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науки и высшего образования РК от 07.04.2026 </w:t>
      </w:r>
      <w:r>
        <w:rPr>
          <w:rFonts w:ascii="Times New Roman"/>
          <w:b w:val="false"/>
          <w:i w:val="false"/>
          <w:color w:val="ff0000"/>
          <w:sz w:val="28"/>
        </w:rPr>
        <w:t>№ 173</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 формировании перечня ОВПО, в которых размещается государственный образовательный заказ на подготовку кадров с послевузовским образованием: доктора философии PhD/доктора по профилю/доктора индустрии, в том числе целевых мест, Комиссией учитываются:</w:t>
      </w:r>
    </w:p>
    <w:bookmarkStart w:name="z337" w:id="49"/>
    <w:p>
      <w:pPr>
        <w:spacing w:after="0"/>
        <w:ind w:left="0"/>
        <w:jc w:val="both"/>
      </w:pPr>
      <w:r>
        <w:rPr>
          <w:rFonts w:ascii="Times New Roman"/>
          <w:b w:val="false"/>
          <w:i w:val="false"/>
          <w:color w:val="000000"/>
          <w:sz w:val="28"/>
        </w:rPr>
        <w:t>
      1) участие в международном и/или национальном рейтингах ОВПО;</w:t>
      </w:r>
    </w:p>
    <w:bookmarkEnd w:id="49"/>
    <w:bookmarkStart w:name="z338" w:id="50"/>
    <w:p>
      <w:pPr>
        <w:spacing w:after="0"/>
        <w:ind w:left="0"/>
        <w:jc w:val="both"/>
      </w:pPr>
      <w:r>
        <w:rPr>
          <w:rFonts w:ascii="Times New Roman"/>
          <w:b w:val="false"/>
          <w:i w:val="false"/>
          <w:color w:val="000000"/>
          <w:sz w:val="28"/>
        </w:rPr>
        <w:t>
      2) наличие договоров с аккредитованными научными организациями-партнерами, в том числе зарубежных, о выполнении совместных научных проектов и предоставлении исследовательской базы;</w:t>
      </w:r>
    </w:p>
    <w:bookmarkEnd w:id="50"/>
    <w:bookmarkStart w:name="z339" w:id="51"/>
    <w:p>
      <w:pPr>
        <w:spacing w:after="0"/>
        <w:ind w:left="0"/>
        <w:jc w:val="both"/>
      </w:pPr>
      <w:r>
        <w:rPr>
          <w:rFonts w:ascii="Times New Roman"/>
          <w:b w:val="false"/>
          <w:i w:val="false"/>
          <w:color w:val="000000"/>
          <w:sz w:val="28"/>
        </w:rPr>
        <w:t>
      3) наличие научных руководителей из числа профессорско-преподавательского состава ОВПО с учеными степенями доктора наук/кандидата наук, и степенями доктора философии (PhD)/доктора по профилю;</w:t>
      </w:r>
    </w:p>
    <w:bookmarkEnd w:id="51"/>
    <w:bookmarkStart w:name="z340" w:id="52"/>
    <w:p>
      <w:pPr>
        <w:spacing w:after="0"/>
        <w:ind w:left="0"/>
        <w:jc w:val="both"/>
      </w:pPr>
      <w:r>
        <w:rPr>
          <w:rFonts w:ascii="Times New Roman"/>
          <w:b w:val="false"/>
          <w:i w:val="false"/>
          <w:color w:val="000000"/>
          <w:sz w:val="28"/>
        </w:rPr>
        <w:t>
      4) выполнение с зарубежными ОВПО-партнерами (научными организациями) совместных научно-образовательных проектов;</w:t>
      </w:r>
    </w:p>
    <w:bookmarkEnd w:id="52"/>
    <w:bookmarkStart w:name="z341" w:id="53"/>
    <w:p>
      <w:pPr>
        <w:spacing w:after="0"/>
        <w:ind w:left="0"/>
        <w:jc w:val="both"/>
      </w:pPr>
      <w:r>
        <w:rPr>
          <w:rFonts w:ascii="Times New Roman"/>
          <w:b w:val="false"/>
          <w:i w:val="false"/>
          <w:color w:val="000000"/>
          <w:sz w:val="28"/>
        </w:rPr>
        <w:t>
      5) кадровое обеспечение научно-образовательного процесса и соответствующее требованиям на занятие образовательной деятельностью по образовательным программам послевузовского образования (для группы специальностей "Искусство", в том числе преподаватели, удостоенные почетных званий и государственных наград Республики Казахстан);</w:t>
      </w:r>
    </w:p>
    <w:bookmarkEnd w:id="53"/>
    <w:bookmarkStart w:name="z342" w:id="54"/>
    <w:p>
      <w:pPr>
        <w:spacing w:after="0"/>
        <w:ind w:left="0"/>
        <w:jc w:val="both"/>
      </w:pPr>
      <w:r>
        <w:rPr>
          <w:rFonts w:ascii="Times New Roman"/>
          <w:b w:val="false"/>
          <w:i w:val="false"/>
          <w:color w:val="000000"/>
          <w:sz w:val="28"/>
        </w:rPr>
        <w:t>
      6) доступ к мировым научным и образовательным ресурсам; материально-техническое обеспечение научно-образовательного процесса, соответствующее требованиям на занятие образовательной деятельностью по образовательным программам послевузовского образования;</w:t>
      </w:r>
    </w:p>
    <w:bookmarkEnd w:id="54"/>
    <w:bookmarkStart w:name="z343" w:id="55"/>
    <w:p>
      <w:pPr>
        <w:spacing w:after="0"/>
        <w:ind w:left="0"/>
        <w:jc w:val="both"/>
      </w:pPr>
      <w:r>
        <w:rPr>
          <w:rFonts w:ascii="Times New Roman"/>
          <w:b w:val="false"/>
          <w:i w:val="false"/>
          <w:color w:val="000000"/>
          <w:sz w:val="28"/>
        </w:rPr>
        <w:t xml:space="preserve">
      7) наличие аккредитованных образовательных программ, за исключением международных и иностранных учебных заведений в Республике Казахстан и (или) их филиалов,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55"/>
    <w:bookmarkStart w:name="z344" w:id="56"/>
    <w:p>
      <w:pPr>
        <w:spacing w:after="0"/>
        <w:ind w:left="0"/>
        <w:jc w:val="both"/>
      </w:pPr>
      <w:r>
        <w:rPr>
          <w:rFonts w:ascii="Times New Roman"/>
          <w:b w:val="false"/>
          <w:i w:val="false"/>
          <w:color w:val="000000"/>
          <w:sz w:val="28"/>
        </w:rPr>
        <w:t>
      8) выполнение научных и научно-технических программ и проектов на основе грантового, программно-целевого финансирования и внешних источников финансирования;</w:t>
      </w:r>
    </w:p>
    <w:bookmarkEnd w:id="56"/>
    <w:bookmarkStart w:name="z345" w:id="57"/>
    <w:p>
      <w:pPr>
        <w:spacing w:after="0"/>
        <w:ind w:left="0"/>
        <w:jc w:val="both"/>
      </w:pPr>
      <w:r>
        <w:rPr>
          <w:rFonts w:ascii="Times New Roman"/>
          <w:b w:val="false"/>
          <w:i w:val="false"/>
          <w:color w:val="000000"/>
          <w:sz w:val="28"/>
        </w:rPr>
        <w:t>
      9) наличие в ОВПО мест для проживания обучающихся в общежитии, пунктов общественного питания и медицинского обслуживания;</w:t>
      </w:r>
    </w:p>
    <w:bookmarkEnd w:id="57"/>
    <w:bookmarkStart w:name="z346" w:id="58"/>
    <w:p>
      <w:pPr>
        <w:spacing w:after="0"/>
        <w:ind w:left="0"/>
        <w:jc w:val="both"/>
      </w:pPr>
      <w:r>
        <w:rPr>
          <w:rFonts w:ascii="Times New Roman"/>
          <w:b w:val="false"/>
          <w:i w:val="false"/>
          <w:color w:val="000000"/>
          <w:sz w:val="28"/>
        </w:rPr>
        <w:t>
      10) сведения о трудоустройстве и занятости выпускников в первый год после окончания ОВПО по заявленным специальностям.</w:t>
      </w:r>
    </w:p>
    <w:bookmarkEnd w:id="58"/>
    <w:bookmarkStart w:name="z347" w:id="59"/>
    <w:p>
      <w:pPr>
        <w:spacing w:after="0"/>
        <w:ind w:left="0"/>
        <w:jc w:val="both"/>
      </w:pPr>
      <w:r>
        <w:rPr>
          <w:rFonts w:ascii="Times New Roman"/>
          <w:b w:val="false"/>
          <w:i w:val="false"/>
          <w:color w:val="000000"/>
          <w:sz w:val="28"/>
        </w:rPr>
        <w:t>
      Допуск ОВПО к конкурсу, в которых выпускники докторантуры завершили обучение и не получили утверждение степени доктора философии (PhD), доктора по профилю в течение 4 (четырех) лет после окончания по соответствующей группе образовательных программ, осуществляется по решению Комиссии.</w:t>
      </w:r>
    </w:p>
    <w:bookmarkEnd w:id="59"/>
    <w:bookmarkStart w:name="z348" w:id="60"/>
    <w:p>
      <w:pPr>
        <w:spacing w:after="0"/>
        <w:ind w:left="0"/>
        <w:jc w:val="both"/>
      </w:pPr>
      <w:r>
        <w:rPr>
          <w:rFonts w:ascii="Times New Roman"/>
          <w:b w:val="false"/>
          <w:i w:val="false"/>
          <w:color w:val="000000"/>
          <w:sz w:val="28"/>
        </w:rPr>
        <w:t>
      21. Для размещения государственного образовательного заказа на обучение слушателей подготовительного отделения ОВПО при подаче в электронном формате заявки заполняет сведения в информационной карте ОВПО, указанные в пункте 22 настоящих Правил.</w:t>
      </w:r>
    </w:p>
    <w:bookmarkEnd w:id="60"/>
    <w:bookmarkStart w:name="z349" w:id="61"/>
    <w:p>
      <w:pPr>
        <w:spacing w:after="0"/>
        <w:ind w:left="0"/>
        <w:jc w:val="both"/>
      </w:pPr>
      <w:r>
        <w:rPr>
          <w:rFonts w:ascii="Times New Roman"/>
          <w:b w:val="false"/>
          <w:i w:val="false"/>
          <w:color w:val="000000"/>
          <w:sz w:val="28"/>
        </w:rPr>
        <w:t>
      22. При формировании перечня ОВПО, в которых размещается государственный образовательный заказ на обучение слушателей на подготовительном отделении, Комиссией учитываются:</w:t>
      </w:r>
    </w:p>
    <w:bookmarkEnd w:id="61"/>
    <w:bookmarkStart w:name="z350" w:id="62"/>
    <w:p>
      <w:pPr>
        <w:spacing w:after="0"/>
        <w:ind w:left="0"/>
        <w:jc w:val="both"/>
      </w:pPr>
      <w:r>
        <w:rPr>
          <w:rFonts w:ascii="Times New Roman"/>
          <w:b w:val="false"/>
          <w:i w:val="false"/>
          <w:color w:val="000000"/>
          <w:sz w:val="28"/>
        </w:rPr>
        <w:t>
      1) наличие мест для проживания иногородних обучающихся в общежитии и/или договоров с хостелами/ гостиницами, пунктов общественного питания и медицинского обслуживания.</w:t>
      </w:r>
    </w:p>
    <w:bookmarkEnd w:id="62"/>
    <w:bookmarkStart w:name="z351" w:id="63"/>
    <w:p>
      <w:pPr>
        <w:spacing w:after="0"/>
        <w:ind w:left="0"/>
        <w:jc w:val="both"/>
      </w:pPr>
      <w:r>
        <w:rPr>
          <w:rFonts w:ascii="Times New Roman"/>
          <w:b w:val="false"/>
          <w:i w:val="false"/>
          <w:color w:val="000000"/>
          <w:sz w:val="28"/>
        </w:rPr>
        <w:t>
      2) сведения о количестве слушателей, набравших пороговый балл ЕНТ в предыдущем году не ниже 50 баллов и поступивших в ОВПО на обучение по образовательным программам высшего образования.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 предусматривается в редакции приказа Министра науки и высшего образования РК от 07.04.2026 </w:t>
      </w:r>
      <w:r>
        <w:rPr>
          <w:rFonts w:ascii="Times New Roman"/>
          <w:b w:val="false"/>
          <w:i w:val="false"/>
          <w:color w:val="ff0000"/>
          <w:sz w:val="28"/>
        </w:rPr>
        <w:t>№ 173</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Комиссия с учетом оценки принимает решение о формировании перечней ОВПО, в которых размещается государственный образовательный заказ, в том числе по:</w:t>
      </w:r>
    </w:p>
    <w:bookmarkStart w:name="z353" w:id="64"/>
    <w:p>
      <w:pPr>
        <w:spacing w:after="0"/>
        <w:ind w:left="0"/>
        <w:jc w:val="both"/>
      </w:pPr>
      <w:r>
        <w:rPr>
          <w:rFonts w:ascii="Times New Roman"/>
          <w:b w:val="false"/>
          <w:i w:val="false"/>
          <w:color w:val="000000"/>
          <w:sz w:val="28"/>
        </w:rPr>
        <w:t>
      1) подготовке кадров с высшим образованием, в том числе дифференцированно с указанием количества грантов для отдельных ОВПО, регионов, количества грантов в ОВПО с частичной оплатой;</w:t>
      </w:r>
    </w:p>
    <w:bookmarkEnd w:id="64"/>
    <w:bookmarkStart w:name="z354" w:id="65"/>
    <w:p>
      <w:pPr>
        <w:spacing w:after="0"/>
        <w:ind w:left="0"/>
        <w:jc w:val="both"/>
      </w:pPr>
      <w:r>
        <w:rPr>
          <w:rFonts w:ascii="Times New Roman"/>
          <w:b w:val="false"/>
          <w:i w:val="false"/>
          <w:color w:val="000000"/>
          <w:sz w:val="28"/>
        </w:rPr>
        <w:t>
      2) подготовке кадров в научно-педагогической магистратуре/профильной, в том числе с указанием количества грантов для отдельных ОВПО;</w:t>
      </w:r>
    </w:p>
    <w:bookmarkEnd w:id="65"/>
    <w:bookmarkStart w:name="z355" w:id="66"/>
    <w:p>
      <w:pPr>
        <w:spacing w:after="0"/>
        <w:ind w:left="0"/>
        <w:jc w:val="both"/>
      </w:pPr>
      <w:r>
        <w:rPr>
          <w:rFonts w:ascii="Times New Roman"/>
          <w:b w:val="false"/>
          <w:i w:val="false"/>
          <w:color w:val="000000"/>
          <w:sz w:val="28"/>
        </w:rPr>
        <w:t>
      3) подготовке кадров в докторантуре с указанием объема мест по группам образовательных программ, в том числе для целевой подготовки докторов философии (PhD)/ докторов по профилю/ докторов индустрии;</w:t>
      </w:r>
    </w:p>
    <w:bookmarkEnd w:id="66"/>
    <w:bookmarkStart w:name="z356" w:id="67"/>
    <w:p>
      <w:pPr>
        <w:spacing w:after="0"/>
        <w:ind w:left="0"/>
        <w:jc w:val="both"/>
      </w:pPr>
      <w:r>
        <w:rPr>
          <w:rFonts w:ascii="Times New Roman"/>
          <w:b w:val="false"/>
          <w:i w:val="false"/>
          <w:color w:val="000000"/>
          <w:sz w:val="28"/>
        </w:rPr>
        <w:t>
      4) обучению слушателей на подготовительных отделениях ОВПО;</w:t>
      </w:r>
    </w:p>
    <w:bookmarkEnd w:id="67"/>
    <w:bookmarkStart w:name="z357" w:id="68"/>
    <w:p>
      <w:pPr>
        <w:spacing w:after="0"/>
        <w:ind w:left="0"/>
        <w:jc w:val="both"/>
      </w:pPr>
      <w:r>
        <w:rPr>
          <w:rFonts w:ascii="Times New Roman"/>
          <w:b w:val="false"/>
          <w:i w:val="false"/>
          <w:color w:val="000000"/>
          <w:sz w:val="28"/>
        </w:rPr>
        <w:t xml:space="preserve">
      5) подготовке кадров с высшим и послевузовским образованием в международных и иностранных учебных заведениях в Республике Казахстан и (или) их филиалах,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68"/>
    <w:bookmarkStart w:name="z358" w:id="69"/>
    <w:p>
      <w:pPr>
        <w:spacing w:after="0"/>
        <w:ind w:left="0"/>
        <w:jc w:val="both"/>
      </w:pPr>
      <w:r>
        <w:rPr>
          <w:rFonts w:ascii="Times New Roman"/>
          <w:b w:val="false"/>
          <w:i w:val="false"/>
          <w:color w:val="000000"/>
          <w:sz w:val="28"/>
        </w:rPr>
        <w:t>
      По результатам работы Комиссии Министром или лицом, исполняющим его обязанности, утверждается перечень ОВПО, в которых размещается государственный образовательный заказ на подготовку кадров с высшим и послевузовским образованием, являющихся потенциальными поставщиками услуг. Утвержденный перечень ОВПО передается оператору.</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w:t>
            </w:r>
            <w:r>
              <w:br/>
            </w:r>
            <w:r>
              <w:rPr>
                <w:rFonts w:ascii="Times New Roman"/>
                <w:b w:val="false"/>
                <w:i w:val="false"/>
                <w:color w:val="000000"/>
                <w:sz w:val="20"/>
              </w:rPr>
              <w:t>с высшим и послевузовским образованием</w:t>
            </w:r>
            <w:r>
              <w:br/>
            </w:r>
            <w:r>
              <w:rPr>
                <w:rFonts w:ascii="Times New Roman"/>
                <w:b w:val="false"/>
                <w:i w:val="false"/>
                <w:color w:val="000000"/>
                <w:sz w:val="20"/>
              </w:rPr>
              <w:t>с учетом потребностей рынка труда,</w:t>
            </w:r>
            <w:r>
              <w:br/>
            </w:r>
            <w:r>
              <w:rPr>
                <w:rFonts w:ascii="Times New Roman"/>
                <w:b w:val="false"/>
                <w:i w:val="false"/>
                <w:color w:val="000000"/>
                <w:sz w:val="20"/>
              </w:rPr>
              <w:t>на подготовительные отделения</w:t>
            </w:r>
            <w:r>
              <w:br/>
            </w:r>
            <w:r>
              <w:rPr>
                <w:rFonts w:ascii="Times New Roman"/>
                <w:b w:val="false"/>
                <w:i w:val="false"/>
                <w:color w:val="000000"/>
                <w:sz w:val="20"/>
              </w:rPr>
              <w:t>организаций высшего</w:t>
            </w:r>
            <w:r>
              <w:br/>
            </w:r>
            <w:r>
              <w:rPr>
                <w:rFonts w:ascii="Times New Roman"/>
                <w:b w:val="false"/>
                <w:i w:val="false"/>
                <w:color w:val="000000"/>
                <w:sz w:val="20"/>
              </w:rPr>
              <w:t>и (или) 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предусматривается изменение приказом Министра науки и высшего образования РК от 07.04.2026 </w:t>
      </w:r>
      <w:r>
        <w:rPr>
          <w:rFonts w:ascii="Times New Roman"/>
          <w:b w:val="false"/>
          <w:i w:val="false"/>
          <w:color w:val="ff0000"/>
          <w:sz w:val="28"/>
        </w:rPr>
        <w:t>№ 173</w:t>
      </w:r>
      <w:r>
        <w:rPr>
          <w:rFonts w:ascii="Times New Roman"/>
          <w:b w:val="false"/>
          <w:i w:val="false"/>
          <w:color w:val="ff0000"/>
          <w:sz w:val="28"/>
        </w:rPr>
        <w:t xml:space="preserve"> (вводится в действие с 12.07.2026).</w:t>
      </w:r>
    </w:p>
    <w:bookmarkStart w:name="z361" w:id="70"/>
    <w:p>
      <w:pPr>
        <w:spacing w:after="0"/>
        <w:ind w:left="0"/>
        <w:jc w:val="left"/>
      </w:pPr>
      <w:r>
        <w:rPr>
          <w:rFonts w:ascii="Times New Roman"/>
          <w:b/>
          <w:i w:val="false"/>
          <w:color w:val="000000"/>
        </w:rPr>
        <w:t xml:space="preserve"> Конкурсная заявка организации высшего и (или) послевузовского образования</w:t>
      </w:r>
      <w:r>
        <w:br/>
      </w:r>
      <w:r>
        <w:rPr>
          <w:rFonts w:ascii="Times New Roman"/>
          <w:b/>
          <w:i w:val="false"/>
          <w:color w:val="000000"/>
        </w:rPr>
        <w:t>(далее – ОВПО)</w:t>
      </w:r>
    </w:p>
    <w:bookmarkEnd w:id="70"/>
    <w:bookmarkStart w:name="z362" w:id="71"/>
    <w:p>
      <w:pPr>
        <w:spacing w:after="0"/>
        <w:ind w:left="0"/>
        <w:jc w:val="both"/>
      </w:pPr>
      <w:r>
        <w:rPr>
          <w:rFonts w:ascii="Times New Roman"/>
          <w:b w:val="false"/>
          <w:i w:val="false"/>
          <w:color w:val="000000"/>
          <w:sz w:val="28"/>
        </w:rPr>
        <w:t>
      Информационная карта организации высшего и (или) послевузовского образования (далее – ОВПО)</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основания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адрес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телефон, факс, электронная почта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ректора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занятие образовательной деятельностью для организаций высшего и (или) послевузовского образования, для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0"/>
              </w:rPr>
              <w:t>пунктом 4</w:t>
            </w:r>
            <w:r>
              <w:rPr>
                <w:rFonts w:ascii="Times New Roman"/>
                <w:b w:val="false"/>
                <w:i w:val="false"/>
                <w:color w:val="000000"/>
                <w:sz w:val="20"/>
              </w:rPr>
              <w:t xml:space="preserve"> статьи 65 Закона Республики Казахстан "Об образовании" разрешительные документы головного вуза страны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Институциональная аккредитация, для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0"/>
              </w:rPr>
              <w:t>пунктом 4</w:t>
            </w:r>
            <w:r>
              <w:rPr>
                <w:rFonts w:ascii="Times New Roman"/>
                <w:b w:val="false"/>
                <w:i w:val="false"/>
                <w:color w:val="000000"/>
                <w:sz w:val="20"/>
              </w:rPr>
              <w:t xml:space="preserve"> статьи 65 Закона Республики Казахстан "Об образовании" аккредитация головного вуза страны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8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w:t>
            </w:r>
          </w:p>
          <w:p>
            <w:pPr>
              <w:spacing w:after="20"/>
              <w:ind w:left="20"/>
              <w:jc w:val="both"/>
            </w:pPr>
            <w:r>
              <w:rPr>
                <w:rFonts w:ascii="Times New Roman"/>
                <w:b w:val="false"/>
                <w:i w:val="false"/>
                <w:color w:val="000000"/>
                <w:sz w:val="20"/>
              </w:rPr>
              <w:t>- Times higher education (Таймз хайэр едьюкейшн)</w:t>
            </w:r>
          </w:p>
          <w:p>
            <w:pPr>
              <w:spacing w:after="20"/>
              <w:ind w:left="20"/>
              <w:jc w:val="both"/>
            </w:pPr>
            <w:r>
              <w:rPr>
                <w:rFonts w:ascii="Times New Roman"/>
                <w:b w:val="false"/>
                <w:i w:val="false"/>
                <w:color w:val="000000"/>
                <w:sz w:val="20"/>
              </w:rPr>
              <w:t>- QS World University Rankings (КьюЭс Уорлд Юнив сити Рэнкинз)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ОВПО выделяемых на обновление учебно-лабораторной базы, используемой для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8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ОВПО в реестре недобросовестных участников государственных закупок веб-портала государственных закупок на момент подачи документов на участие в конкурсе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8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8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ОВПО с актуальными базами данных о контингенте студентов и профессорско-преподавательском составе (далее – ППС) соответствующей с требованиям, предусмотренными Правилами организации и функционирования объектов информатизации в области высшего и (или) послевузовского образования,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 сентября 2024 года № 428 "Об утверждении правил организации и функционирования объектов информатизации в области высшего и (или) послевузовского образования", а также необходимость соответствия фактических данных данным информационной системы уполномоченного органа в области науки и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88"/>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 высшего 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занятие образовательной деятельностью по образовательным программам высшего и (или) послевузовского образования по направлениям подготовки кадров с высшим и (или) послевузовским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ОВПО в рейтинге Национальной палаты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трудоустройства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95"/>
          <w:p>
            <w:pPr>
              <w:spacing w:after="20"/>
              <w:ind w:left="20"/>
              <w:jc w:val="both"/>
            </w:pPr>
            <w:r>
              <w:rPr>
                <w:rFonts w:ascii="Times New Roman"/>
                <w:b w:val="false"/>
                <w:i w:val="false"/>
                <w:color w:val="000000"/>
                <w:sz w:val="20"/>
              </w:rPr>
              <w:t>
</w:t>
            </w:r>
            <w:r>
              <w:rPr>
                <w:rFonts w:ascii="Times New Roman"/>
                <w:b w:val="false"/>
                <w:i w:val="false"/>
                <w:color w:val="000000"/>
                <w:sz w:val="20"/>
              </w:rPr>
              <w:t>ІІ.</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9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9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(ТОЙФЛ ПиБиТи) – не менее 493; TOEFL ITP (ТОЙФЛ АйТиПи) – не менее 150 баллов; TOEFL CBT (ТОЙФЛ СиБиТи) – не менее 166 баллов; TOEFL IBT (ТОЙФЛ АйБиТи) – не менее 58); CEFR (СЕФР) – В1; APTIS (ЭПТИС) – не менее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одного академического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образовательной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02"/>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04"/>
          <w:p>
            <w:pPr>
              <w:spacing w:after="20"/>
              <w:ind w:left="20"/>
              <w:jc w:val="both"/>
            </w:pPr>
            <w:r>
              <w:rPr>
                <w:rFonts w:ascii="Times New Roman"/>
                <w:b w:val="false"/>
                <w:i w:val="false"/>
                <w:color w:val="000000"/>
                <w:sz w:val="20"/>
              </w:rPr>
              <w:t>
Менее 50 миллионов тенге;</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более 50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300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500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1000 миллионов тенге;</w:t>
            </w:r>
          </w:p>
          <w:p>
            <w:pPr>
              <w:spacing w:after="20"/>
              <w:ind w:left="20"/>
              <w:jc w:val="both"/>
            </w:pPr>
            <w:r>
              <w:rPr>
                <w:rFonts w:ascii="Times New Roman"/>
                <w:b w:val="false"/>
                <w:i w:val="false"/>
                <w:color w:val="000000"/>
                <w:sz w:val="20"/>
              </w:rPr>
              <w:t>
более 50 000 миллионов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05"/>
          <w:p>
            <w:pPr>
              <w:spacing w:after="20"/>
              <w:ind w:left="20"/>
              <w:jc w:val="both"/>
            </w:pPr>
            <w:r>
              <w:rPr>
                <w:rFonts w:ascii="Times New Roman"/>
                <w:b w:val="false"/>
                <w:i w:val="false"/>
                <w:color w:val="000000"/>
                <w:sz w:val="20"/>
              </w:rPr>
              <w:t>
Менее 50 миллионов тенге;</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более 50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150 миллионов тенге;</w:t>
            </w:r>
          </w:p>
          <w:p>
            <w:pPr>
              <w:spacing w:after="20"/>
              <w:ind w:left="20"/>
              <w:jc w:val="both"/>
            </w:pPr>
            <w:r>
              <w:rPr>
                <w:rFonts w:ascii="Times New Roman"/>
                <w:b w:val="false"/>
                <w:i w:val="false"/>
                <w:color w:val="000000"/>
                <w:sz w:val="20"/>
              </w:rPr>
              <w:t>
более 300 миллионов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0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1 штатного преподавателя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рейтинговых журналах, включенных в определенные квартили (Q1-Q4) в базы данных Clarivate Analytics (Кларивэйт Аналитикс) или показатель процентиль по CiteScore (СайтСкор) в базе данных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07"/>
          <w:p>
            <w:pPr>
              <w:spacing w:after="20"/>
              <w:ind w:left="20"/>
              <w:jc w:val="both"/>
            </w:pPr>
            <w:r>
              <w:rPr>
                <w:rFonts w:ascii="Times New Roman"/>
                <w:b w:val="false"/>
                <w:i w:val="false"/>
                <w:color w:val="000000"/>
                <w:sz w:val="20"/>
              </w:rPr>
              <w:t>
10 статей в журналах Q1-Q2 и/или процентилем по CiteScore (СайтСкор) выше 90;</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10 статей в журналах Q3-Q4 и/или процентилем по CiteScore (СайтСкор) выше 50;</w:t>
            </w:r>
          </w:p>
          <w:p>
            <w:pPr>
              <w:spacing w:after="20"/>
              <w:ind w:left="20"/>
              <w:jc w:val="both"/>
            </w:pPr>
            <w:r>
              <w:rPr>
                <w:rFonts w:ascii="Times New Roman"/>
                <w:b w:val="false"/>
                <w:i w:val="false"/>
                <w:color w:val="000000"/>
                <w:sz w:val="20"/>
              </w:rPr>
              <w:t>
10 статей в журналах с процентилем по CiteScore (СайтСкор) выше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08"/>
          <w:p>
            <w:pPr>
              <w:spacing w:after="20"/>
              <w:ind w:left="20"/>
              <w:jc w:val="both"/>
            </w:pPr>
            <w:r>
              <w:rPr>
                <w:rFonts w:ascii="Times New Roman"/>
                <w:b w:val="false"/>
                <w:i w:val="false"/>
                <w:color w:val="000000"/>
                <w:sz w:val="20"/>
              </w:rPr>
              <w:t>
Входящего в список журналов, рекомендованных ведомством уполномоченного органа в области науки и высшего образования: число, целое;</w:t>
            </w:r>
          </w:p>
          <w:bookmarkEnd w:id="108"/>
          <w:p>
            <w:pPr>
              <w:spacing w:after="20"/>
              <w:ind w:left="20"/>
              <w:jc w:val="both"/>
            </w:pPr>
            <w:r>
              <w:rPr>
                <w:rFonts w:ascii="Times New Roman"/>
                <w:b w:val="false"/>
                <w:i w:val="false"/>
                <w:color w:val="000000"/>
                <w:sz w:val="20"/>
              </w:rPr>
              <w:t>
входящего в международную базу данных Web of Science (Вэб ов Сайэнс), Scopus (Скопус):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09"/>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bookmarkStart w:name="z563" w:id="110"/>
    <w:p>
      <w:pPr>
        <w:spacing w:after="0"/>
        <w:ind w:left="0"/>
        <w:jc w:val="both"/>
      </w:pPr>
      <w:r>
        <w:rPr>
          <w:rFonts w:ascii="Times New Roman"/>
          <w:b w:val="false"/>
          <w:i w:val="false"/>
          <w:color w:val="000000"/>
          <w:sz w:val="28"/>
        </w:rPr>
        <w:t>
      По высшему образованию</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11"/>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113"/>
    <w:p>
      <w:pPr>
        <w:spacing w:after="0"/>
        <w:ind w:left="0"/>
        <w:jc w:val="both"/>
      </w:pPr>
      <w:r>
        <w:rPr>
          <w:rFonts w:ascii="Times New Roman"/>
          <w:b w:val="false"/>
          <w:i w:val="false"/>
          <w:color w:val="000000"/>
          <w:sz w:val="28"/>
        </w:rPr>
        <w:t>
      По высшему образованию (педагогические группы образовательных программ)</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14"/>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116"/>
    <w:p>
      <w:pPr>
        <w:spacing w:after="0"/>
        <w:ind w:left="0"/>
        <w:jc w:val="both"/>
      </w:pPr>
      <w:r>
        <w:rPr>
          <w:rFonts w:ascii="Times New Roman"/>
          <w:b w:val="false"/>
          <w:i w:val="false"/>
          <w:color w:val="000000"/>
          <w:sz w:val="28"/>
        </w:rPr>
        <w:t>
      По высшему образованию (Серпин)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1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119"/>
    <w:p>
      <w:pPr>
        <w:spacing w:after="0"/>
        <w:ind w:left="0"/>
        <w:jc w:val="both"/>
      </w:pPr>
      <w:r>
        <w:rPr>
          <w:rFonts w:ascii="Times New Roman"/>
          <w:b w:val="false"/>
          <w:i w:val="false"/>
          <w:color w:val="000000"/>
          <w:sz w:val="28"/>
        </w:rPr>
        <w:t xml:space="preserve">
      По высшему образованию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Республики Казахстан "Об образовании" по двудипломным и совместным образовательным программам)</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20"/>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122"/>
    <w:p>
      <w:pPr>
        <w:spacing w:after="0"/>
        <w:ind w:left="0"/>
        <w:jc w:val="both"/>
      </w:pPr>
      <w:r>
        <w:rPr>
          <w:rFonts w:ascii="Times New Roman"/>
          <w:b w:val="false"/>
          <w:i w:val="false"/>
          <w:color w:val="000000"/>
          <w:sz w:val="28"/>
        </w:rPr>
        <w:t>
      По высшему образованию (целевые гранты для обучения в ведущих ОВПО страны молодежи из западных регионов)</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23"/>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125"/>
    <w:p>
      <w:pPr>
        <w:spacing w:after="0"/>
        <w:ind w:left="0"/>
        <w:jc w:val="both"/>
      </w:pPr>
      <w:r>
        <w:rPr>
          <w:rFonts w:ascii="Times New Roman"/>
          <w:b w:val="false"/>
          <w:i w:val="false"/>
          <w:color w:val="000000"/>
          <w:sz w:val="28"/>
        </w:rPr>
        <w:t>
      По послевузовскому образованию научно-педагогическая магистратура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2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128"/>
    <w:p>
      <w:pPr>
        <w:spacing w:after="0"/>
        <w:ind w:left="0"/>
        <w:jc w:val="both"/>
      </w:pPr>
      <w:r>
        <w:rPr>
          <w:rFonts w:ascii="Times New Roman"/>
          <w:b w:val="false"/>
          <w:i w:val="false"/>
          <w:color w:val="000000"/>
          <w:sz w:val="28"/>
        </w:rPr>
        <w:t xml:space="preserve">
      По послевузовскому образованию научно-педагогическая магистратура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Республики Казахстан "Об образовании" по двудипломным и совместным образовательным программам)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29"/>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131"/>
    <w:p>
      <w:pPr>
        <w:spacing w:after="0"/>
        <w:ind w:left="0"/>
        <w:jc w:val="both"/>
      </w:pPr>
      <w:r>
        <w:rPr>
          <w:rFonts w:ascii="Times New Roman"/>
          <w:b w:val="false"/>
          <w:i w:val="false"/>
          <w:color w:val="000000"/>
          <w:sz w:val="28"/>
        </w:rPr>
        <w:t>
      По послевузовскому образованию профильная магистратура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32"/>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134"/>
    <w:p>
      <w:pPr>
        <w:spacing w:after="0"/>
        <w:ind w:left="0"/>
        <w:jc w:val="both"/>
      </w:pPr>
      <w:r>
        <w:rPr>
          <w:rFonts w:ascii="Times New Roman"/>
          <w:b w:val="false"/>
          <w:i w:val="false"/>
          <w:color w:val="000000"/>
          <w:sz w:val="28"/>
        </w:rPr>
        <w:t>
      По целевой подготовке докторов философии PhD</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35"/>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(или) послевузовского образования, где планируется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137"/>
    <w:p>
      <w:pPr>
        <w:spacing w:after="0"/>
        <w:ind w:left="0"/>
        <w:jc w:val="both"/>
      </w:pPr>
      <w:r>
        <w:rPr>
          <w:rFonts w:ascii="Times New Roman"/>
          <w:b w:val="false"/>
          <w:i w:val="false"/>
          <w:color w:val="000000"/>
          <w:sz w:val="28"/>
        </w:rPr>
        <w:t>
      По целевой подготовке докторов по профилю/докторов индустрии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38"/>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(или) послевузовского образования, где планируется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4" w:id="140"/>
      <w:r>
        <w:rPr>
          <w:rFonts w:ascii="Times New Roman"/>
          <w:b w:val="false"/>
          <w:i w:val="false"/>
          <w:color w:val="000000"/>
          <w:sz w:val="28"/>
        </w:rPr>
        <w:t>
      Руководитель организации _________________________________________</w:t>
      </w:r>
    </w:p>
    <w:bookmarkEnd w:id="140"/>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место печати _____________________________________</w:t>
      </w:r>
    </w:p>
    <w:bookmarkStart w:name="z715" w:id="141"/>
    <w:p>
      <w:pPr>
        <w:spacing w:after="0"/>
        <w:ind w:left="0"/>
        <w:jc w:val="left"/>
      </w:pPr>
      <w:r>
        <w:rPr>
          <w:rFonts w:ascii="Times New Roman"/>
          <w:b/>
          <w:i w:val="false"/>
          <w:color w:val="000000"/>
        </w:rPr>
        <w:t xml:space="preserve"> Перечень организации высшего и (или) послевузовского образования (далее – ОВПО) по информационным картам</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 ОВПО (место, наименование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0-1 000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ОВПО выделяемых на обновление учебно-лабораторной базы, используемой для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ОВПО в реестре недобросовестных участников государственных закупок веб-портала государственных закупок на момент подачи документов на участие в конкурсе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ОВПО с актуальными базами данных о контингенте студентов и профессорско-преподавательском составе (далее – ППС) соответствующей с требованиям, предусмотренными </w:t>
            </w:r>
            <w:r>
              <w:rPr>
                <w:rFonts w:ascii="Times New Roman"/>
                <w:b w:val="false"/>
                <w:i w:val="false"/>
                <w:color w:val="000000"/>
                <w:sz w:val="20"/>
              </w:rPr>
              <w:t>Правилами</w:t>
            </w:r>
            <w:r>
              <w:rPr>
                <w:rFonts w:ascii="Times New Roman"/>
                <w:b w:val="false"/>
                <w:i w:val="false"/>
                <w:color w:val="000000"/>
                <w:sz w:val="20"/>
              </w:rPr>
              <w:t xml:space="preserve"> организации и функционирования объектов информатизации в области высшего и (или) послевузовского образования, утвержденными приказом Министра науки и высшего образования Республики Казахстан от 2 сентября 2024 года № 428 "Об утверждении правил организации и функционирования объектов информатизации в области высшего и (или) послевузовского образования", а также необходимость соответствия фактических данных данным информационной системы уполномоченного органа в области науки и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51"/>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15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занятие образовательной деятельностью по образовательным программам высшего и (или) послевузовского образования по направлениям подготовки кадров с высшим и (или) послевузовским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организаций высшего и (или) послевузовского образования в рейтинге Национальной палаты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58"/>
          <w:p>
            <w:pPr>
              <w:spacing w:after="20"/>
              <w:ind w:left="20"/>
              <w:jc w:val="both"/>
            </w:pPr>
            <w:r>
              <w:rPr>
                <w:rFonts w:ascii="Times New Roman"/>
                <w:b w:val="false"/>
                <w:i w:val="false"/>
                <w:color w:val="000000"/>
                <w:sz w:val="20"/>
              </w:rPr>
              <w:t>
</w:t>
            </w:r>
            <w:r>
              <w:rPr>
                <w:rFonts w:ascii="Times New Roman"/>
                <w:b w:val="false"/>
                <w:i w:val="false"/>
                <w:color w:val="000000"/>
                <w:sz w:val="20"/>
              </w:rPr>
              <w:t>ІІ.</w:t>
            </w:r>
          </w:p>
          <w:bookmarkEnd w:id="158"/>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6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(ТОЙФЛ ПиБиТи) – не менее 493; TOEFL ITP (ТОЙФЛ АйТиПи) – не менее 150 баллов; TOEFL CBT (ТОЙФЛ СиБиТи) – не менее 166 баллов; TOEFL IBT (ТОЙФЛ АйБиТи) – не менее 58); CEFR (СЕФР) – В1; APTIS (ЭПТИС) – не менее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академического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профильных дисциплин по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65"/>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16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6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1 штатного преподавателя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p>
            <w:pPr>
              <w:spacing w:after="20"/>
              <w:ind w:left="20"/>
              <w:jc w:val="both"/>
            </w:pPr>
            <w:r>
              <w:rPr>
                <w:rFonts w:ascii="Times New Roman"/>
                <w:b w:val="false"/>
                <w:i w:val="false"/>
                <w:color w:val="000000"/>
                <w:sz w:val="20"/>
              </w:rPr>
              <w:t>- в зарубежных рейтинговых журналах, включенных в определенные квартили (Q1-Q4) в базы данных Clarivate Analytics (Кларивэйт Аналитикс) или показатель процентиль по CiteScore (СайтСкор) в базе данных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72"/>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17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76"/>
          <w:p>
            <w:pPr>
              <w:spacing w:after="20"/>
              <w:ind w:left="20"/>
              <w:jc w:val="both"/>
            </w:pPr>
            <w:r>
              <w:rPr>
                <w:rFonts w:ascii="Times New Roman"/>
                <w:b w:val="false"/>
                <w:i w:val="false"/>
                <w:color w:val="000000"/>
                <w:sz w:val="20"/>
              </w:rPr>
              <w:t>
</w:t>
            </w:r>
            <w:r>
              <w:rPr>
                <w:rFonts w:ascii="Times New Roman"/>
                <w:b w:val="false"/>
                <w:i w:val="false"/>
                <w:color w:val="000000"/>
                <w:sz w:val="20"/>
              </w:rPr>
              <w:t>V</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набравших пороговый балл ЕНТ в предыдущем году и поступивших в ОВПО на обучение по образовательным программам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bookmarkStart w:name="z876" w:id="177"/>
    <w:p>
      <w:pPr>
        <w:spacing w:after="0"/>
        <w:ind w:left="0"/>
        <w:jc w:val="both"/>
      </w:pPr>
      <w:r>
        <w:rPr>
          <w:rFonts w:ascii="Times New Roman"/>
          <w:b w:val="false"/>
          <w:i w:val="false"/>
          <w:color w:val="000000"/>
          <w:sz w:val="28"/>
        </w:rPr>
        <w:t>
      Примечания:</w:t>
      </w:r>
    </w:p>
    <w:bookmarkEnd w:id="177"/>
    <w:bookmarkStart w:name="z877" w:id="178"/>
    <w:p>
      <w:pPr>
        <w:spacing w:after="0"/>
        <w:ind w:left="0"/>
        <w:jc w:val="both"/>
      </w:pPr>
      <w:r>
        <w:rPr>
          <w:rFonts w:ascii="Times New Roman"/>
          <w:b w:val="false"/>
          <w:i w:val="false"/>
          <w:color w:val="000000"/>
          <w:sz w:val="28"/>
        </w:rPr>
        <w:t>
      1) к конкурсу не допускается заявленная группа образовательной программы высшего образования, по которой в течении двух лет не осуществлялась подготовка кадров;</w:t>
      </w:r>
    </w:p>
    <w:bookmarkEnd w:id="178"/>
    <w:bookmarkStart w:name="z878" w:id="179"/>
    <w:p>
      <w:pPr>
        <w:spacing w:after="0"/>
        <w:ind w:left="0"/>
        <w:jc w:val="both"/>
      </w:pPr>
      <w:r>
        <w:rPr>
          <w:rFonts w:ascii="Times New Roman"/>
          <w:b w:val="false"/>
          <w:i w:val="false"/>
          <w:color w:val="000000"/>
          <w:sz w:val="28"/>
        </w:rPr>
        <w:t>
      2) по решению комиссии к конкурсу не допускаются ОВПО предоставившие не соответствующие действительности недостоверные данные;</w:t>
      </w:r>
    </w:p>
    <w:bookmarkEnd w:id="179"/>
    <w:bookmarkStart w:name="z879" w:id="180"/>
    <w:p>
      <w:pPr>
        <w:spacing w:after="0"/>
        <w:ind w:left="0"/>
        <w:jc w:val="both"/>
      </w:pPr>
      <w:r>
        <w:rPr>
          <w:rFonts w:ascii="Times New Roman"/>
          <w:b w:val="false"/>
          <w:i w:val="false"/>
          <w:color w:val="000000"/>
          <w:sz w:val="28"/>
        </w:rPr>
        <w:t>
      3) информационная карта подписывается ЭЦП первого руководителя ОВПО.</w:t>
      </w:r>
    </w:p>
    <w:bookmarkEnd w:id="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января 2016 года № 122</w:t>
            </w:r>
          </w:p>
        </w:tc>
      </w:tr>
    </w:tbl>
    <w:bookmarkStart w:name="z19" w:id="181"/>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Министра образования и науки Республики Казахстан</w:t>
      </w:r>
    </w:p>
    <w:bookmarkEnd w:id="181"/>
    <w:bookmarkStart w:name="z20" w:id="1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7690, опубликованный в газете "Казахстанская правда" от 13 июня 2012 года № 183-184 (27002-27003));</w:t>
      </w:r>
    </w:p>
    <w:bookmarkEnd w:id="182"/>
    <w:bookmarkStart w:name="z21" w:id="1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6 марта 2013 года № 77 "О внесении изменений в приказ и.о.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8387, опубликованный в газете "Казахстанская правда" от 7 августа 2013 года № 246 (27520));</w:t>
      </w:r>
    </w:p>
    <w:bookmarkEnd w:id="183"/>
    <w:bookmarkStart w:name="z22" w:id="1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23 августа 2013 года № 353 "О внесении изменения и дополнения в приказ и.о.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8733, опубликованный в газете "Казахстанская правда" от 31 октября 2013 года № 305 (27579));</w:t>
      </w:r>
    </w:p>
    <w:bookmarkEnd w:id="184"/>
    <w:bookmarkStart w:name="z23" w:id="1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июля 2014 года № 295 "О внесении изменений в приказ исполняющего обязанности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9701, опубликованный в Информационно-правовой системе "Әділет" от 22 сентября 2014 года).</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