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b3a1" w14:textId="212b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ограниченных мер воздействия в отношении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а также организации по формированию и ведению базы данных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51. Зарегистрировано в Министерстве юстиции Республики Казахстан 29 февраля 2016 года № 13313. Утратило силу постановлением Правления Национального Банка Республики Казахстан от 29 октября 2018 года № 272.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272</w:t>
      </w:r>
      <w:r>
        <w:rPr>
          <w:rFonts w:ascii="Times New Roman"/>
          <w:b w:val="false"/>
          <w:i w:val="false"/>
          <w:color w:val="ff0000"/>
          <w:sz w:val="28"/>
        </w:rPr>
        <w:t xml:space="preserve"> (вводится в действие с 01.01.2019).</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ограниченных мер воздействия в отношении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а также организации по формированию и ведению базы данных.</w:t>
      </w:r>
    </w:p>
    <w:bookmarkEnd w:id="1"/>
    <w:bookmarkStart w:name="z3" w:id="2"/>
    <w:p>
      <w:pPr>
        <w:spacing w:after="0"/>
        <w:ind w:left="0"/>
        <w:jc w:val="both"/>
      </w:pPr>
      <w:r>
        <w:rPr>
          <w:rFonts w:ascii="Times New Roman"/>
          <w:b w:val="false"/>
          <w:i w:val="false"/>
          <w:color w:val="000000"/>
          <w:sz w:val="28"/>
        </w:rPr>
        <w:t>
      2. Департаменту надзора за субъектами страхового рынка (Калиев А.Е.)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xml:space="preserve">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Смолякова О.А.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51</w:t>
            </w:r>
          </w:p>
        </w:tc>
      </w:tr>
    </w:tbl>
    <w:bookmarkStart w:name="z8" w:id="6"/>
    <w:p>
      <w:pPr>
        <w:spacing w:after="0"/>
        <w:ind w:left="0"/>
        <w:jc w:val="left"/>
      </w:pPr>
      <w:r>
        <w:rPr>
          <w:rFonts w:ascii="Times New Roman"/>
          <w:b/>
          <w:i w:val="false"/>
          <w:color w:val="000000"/>
        </w:rPr>
        <w:t xml:space="preserve"> Правила применения ограниченных мер воздействия в отношении</w:t>
      </w:r>
      <w:r>
        <w:br/>
      </w:r>
      <w:r>
        <w:rPr>
          <w:rFonts w:ascii="Times New Roman"/>
          <w:b/>
          <w:i w:val="false"/>
          <w:color w:val="000000"/>
        </w:rPr>
        <w:t>страховой (перестраховочной) организации, страхового брокера,</w:t>
      </w:r>
      <w:r>
        <w:br/>
      </w:r>
      <w:r>
        <w:rPr>
          <w:rFonts w:ascii="Times New Roman"/>
          <w:b/>
          <w:i w:val="false"/>
          <w:color w:val="000000"/>
        </w:rPr>
        <w:t>актуария, страхового холдинга, организаций, входящих в состав</w:t>
      </w:r>
      <w:r>
        <w:br/>
      </w:r>
      <w:r>
        <w:rPr>
          <w:rFonts w:ascii="Times New Roman"/>
          <w:b/>
          <w:i w:val="false"/>
          <w:color w:val="000000"/>
        </w:rPr>
        <w:t>страховой группы, крупных участников страховой</w:t>
      </w:r>
      <w:r>
        <w:br/>
      </w:r>
      <w:r>
        <w:rPr>
          <w:rFonts w:ascii="Times New Roman"/>
          <w:b/>
          <w:i w:val="false"/>
          <w:color w:val="000000"/>
        </w:rPr>
        <w:t>(перестраховочной) организации, а также организации по</w:t>
      </w:r>
      <w:r>
        <w:br/>
      </w:r>
      <w:r>
        <w:rPr>
          <w:rFonts w:ascii="Times New Roman"/>
          <w:b/>
          <w:i w:val="false"/>
          <w:color w:val="000000"/>
        </w:rPr>
        <w:t>формированию и ведению базы данных</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1. Настоящие Правила применения ограниченных мер воздействия в отношении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а также организации по формированию и ведению базы данных (далее - Правила) разработаны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и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(далее - Закон о Фонде),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устанавливают порядок применения </w:t>
      </w:r>
      <w:r>
        <w:rPr>
          <w:rFonts w:ascii="Times New Roman"/>
          <w:b w:val="false"/>
          <w:i w:val="false"/>
          <w:color w:val="000000"/>
          <w:sz w:val="28"/>
        </w:rPr>
        <w:t>уполномоченным органом</w:t>
      </w:r>
      <w:r>
        <w:rPr>
          <w:rFonts w:ascii="Times New Roman"/>
          <w:b w:val="false"/>
          <w:i w:val="false"/>
          <w:color w:val="000000"/>
          <w:sz w:val="28"/>
        </w:rPr>
        <w:t xml:space="preserve"> по регулированию, контролю и надзору финансового рынка и финансовых организаций (далее - уполномоченный орган) ограниченных мер воздействия в отношении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а также организации по формированию и ведению базы данных. </w:t>
      </w:r>
    </w:p>
    <w:bookmarkEnd w:id="7"/>
    <w:bookmarkStart w:name="z11" w:id="8"/>
    <w:p>
      <w:pPr>
        <w:spacing w:after="0"/>
        <w:ind w:left="0"/>
        <w:jc w:val="both"/>
      </w:pPr>
      <w:r>
        <w:rPr>
          <w:rFonts w:ascii="Times New Roman"/>
          <w:b w:val="false"/>
          <w:i w:val="false"/>
          <w:color w:val="000000"/>
          <w:sz w:val="28"/>
        </w:rPr>
        <w:t xml:space="preserve">
      2. Уполномоченный орган в соответствии со </w:t>
      </w:r>
      <w:r>
        <w:rPr>
          <w:rFonts w:ascii="Times New Roman"/>
          <w:b w:val="false"/>
          <w:i w:val="false"/>
          <w:color w:val="000000"/>
          <w:sz w:val="28"/>
        </w:rPr>
        <w:t>статьей 53-2</w:t>
      </w:r>
      <w:r>
        <w:rPr>
          <w:rFonts w:ascii="Times New Roman"/>
          <w:b w:val="false"/>
          <w:i w:val="false"/>
          <w:color w:val="000000"/>
          <w:sz w:val="28"/>
        </w:rPr>
        <w:t xml:space="preserve"> Закона, </w:t>
      </w:r>
      <w:r>
        <w:rPr>
          <w:rFonts w:ascii="Times New Roman"/>
          <w:b w:val="false"/>
          <w:i w:val="false"/>
          <w:color w:val="000000"/>
          <w:sz w:val="28"/>
        </w:rPr>
        <w:t>статьей 3-1</w:t>
      </w:r>
      <w:r>
        <w:rPr>
          <w:rFonts w:ascii="Times New Roman"/>
          <w:b w:val="false"/>
          <w:i w:val="false"/>
          <w:color w:val="000000"/>
          <w:sz w:val="28"/>
        </w:rPr>
        <w:t xml:space="preserve"> Закона о Фонде применяет ограниченную меру воздействия в отношении страховой (перестраховочной) организации, в том числе страховой организации, являющейся участником системы гарантирования страховых выплат,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организации по формированию и ведению базы данных с учетом одного или нескольких из следующих факторов: </w:t>
      </w:r>
    </w:p>
    <w:bookmarkEnd w:id="8"/>
    <w:p>
      <w:pPr>
        <w:spacing w:after="0"/>
        <w:ind w:left="0"/>
        <w:jc w:val="both"/>
      </w:pPr>
      <w:r>
        <w:rPr>
          <w:rFonts w:ascii="Times New Roman"/>
          <w:b w:val="false"/>
          <w:i w:val="false"/>
          <w:color w:val="000000"/>
          <w:sz w:val="28"/>
        </w:rPr>
        <w:t>
      1) уровня риска.</w:t>
      </w:r>
    </w:p>
    <w:p>
      <w:pPr>
        <w:spacing w:after="0"/>
        <w:ind w:left="0"/>
        <w:jc w:val="both"/>
      </w:pPr>
      <w:r>
        <w:rPr>
          <w:rFonts w:ascii="Times New Roman"/>
          <w:b w:val="false"/>
          <w:i w:val="false"/>
          <w:color w:val="000000"/>
          <w:sz w:val="28"/>
        </w:rPr>
        <w:t xml:space="preserve">
      Под риском понимается вероятность возникновения негативных последствий в виде нарушения прав и свобод граждан, нанесения ущерба интересам общества и государству в результате неисполнения и (или) неполного исполнения страховой (перестраховочной) организацией, страховым брокером, актуарием, страховым холдингом, организациями, входящими в состав страховой группы, крупными участниками страховой (перестраховочной) организации, организацией по формированию и ведению базы данных </w:t>
      </w:r>
      <w:r>
        <w:rPr>
          <w:rFonts w:ascii="Times New Roman"/>
          <w:b w:val="false"/>
          <w:i w:val="false"/>
          <w:color w:val="000000"/>
          <w:sz w:val="28"/>
        </w:rPr>
        <w:t>требований</w:t>
      </w:r>
      <w:r>
        <w:rPr>
          <w:rFonts w:ascii="Times New Roman"/>
          <w:b w:val="false"/>
          <w:i w:val="false"/>
          <w:color w:val="000000"/>
          <w:sz w:val="28"/>
        </w:rPr>
        <w:t xml:space="preserve">, </w:t>
      </w:r>
      <w:r>
        <w:rPr>
          <w:rFonts w:ascii="Times New Roman"/>
          <w:b w:val="false"/>
          <w:i w:val="false"/>
          <w:color w:val="000000"/>
          <w:sz w:val="28"/>
        </w:rPr>
        <w:t>установленных</w:t>
      </w:r>
      <w:r>
        <w:rPr>
          <w:rFonts w:ascii="Times New Roman"/>
          <w:b w:val="false"/>
          <w:i w:val="false"/>
          <w:color w:val="000000"/>
          <w:sz w:val="28"/>
        </w:rPr>
        <w:t xml:space="preserve"> законодательством Республики Казахстан о страховании и страховой деятельности, при осуществлении деятельности, а также ухудшения финансового состояния страховой (перестраховочной) организации, страхового брокера, страховой группы, Акционерного общества "Фонд гарантирования страховых выплат" (далее - Фонд);</w:t>
      </w:r>
    </w:p>
    <w:p>
      <w:pPr>
        <w:spacing w:after="0"/>
        <w:ind w:left="0"/>
        <w:jc w:val="both"/>
      </w:pPr>
      <w:r>
        <w:rPr>
          <w:rFonts w:ascii="Times New Roman"/>
          <w:b w:val="false"/>
          <w:i w:val="false"/>
          <w:color w:val="000000"/>
          <w:sz w:val="28"/>
        </w:rPr>
        <w:t xml:space="preserve">
      2) способности скорректировать ситуацию в результате применения выбранной ограниченной меры воздействия; </w:t>
      </w:r>
    </w:p>
    <w:p>
      <w:pPr>
        <w:spacing w:after="0"/>
        <w:ind w:left="0"/>
        <w:jc w:val="both"/>
      </w:pPr>
      <w:r>
        <w:rPr>
          <w:rFonts w:ascii="Times New Roman"/>
          <w:b w:val="false"/>
          <w:i w:val="false"/>
          <w:color w:val="000000"/>
          <w:sz w:val="28"/>
        </w:rPr>
        <w:t xml:space="preserve">
      3) характера нарушения и возможных последствий для страховой (перестраховочной) организации, страхового брокера, страховой группы, организации по формированию и ведению базы данных, Фонда; </w:t>
      </w:r>
    </w:p>
    <w:p>
      <w:pPr>
        <w:spacing w:after="0"/>
        <w:ind w:left="0"/>
        <w:jc w:val="both"/>
      </w:pPr>
      <w:r>
        <w:rPr>
          <w:rFonts w:ascii="Times New Roman"/>
          <w:b w:val="false"/>
          <w:i w:val="false"/>
          <w:color w:val="000000"/>
          <w:sz w:val="28"/>
        </w:rPr>
        <w:t>
      4) частоты и продолжительности нарушения;</w:t>
      </w:r>
    </w:p>
    <w:p>
      <w:pPr>
        <w:spacing w:after="0"/>
        <w:ind w:left="0"/>
        <w:jc w:val="both"/>
      </w:pPr>
      <w:r>
        <w:rPr>
          <w:rFonts w:ascii="Times New Roman"/>
          <w:b w:val="false"/>
          <w:i w:val="false"/>
          <w:color w:val="000000"/>
          <w:sz w:val="28"/>
        </w:rPr>
        <w:t>
      5) размера убытков страховой (перестраховочной) организации, страхового брокера, страховой группы, Фонда в результате допущенного нарушения;</w:t>
      </w:r>
    </w:p>
    <w:p>
      <w:pPr>
        <w:spacing w:after="0"/>
        <w:ind w:left="0"/>
        <w:jc w:val="both"/>
      </w:pPr>
      <w:r>
        <w:rPr>
          <w:rFonts w:ascii="Times New Roman"/>
          <w:b w:val="false"/>
          <w:i w:val="false"/>
          <w:color w:val="000000"/>
          <w:sz w:val="28"/>
        </w:rPr>
        <w:t>
      6) мер по устранению допущенного нарушения, принятых (планируемых) страховой (перестраховочной) организацией, страховым брокером, страховым холдингом, организациями, входящими в состав страховой группы, организацией по формированию и ведению базы данных;</w:t>
      </w:r>
    </w:p>
    <w:p>
      <w:pPr>
        <w:spacing w:after="0"/>
        <w:ind w:left="0"/>
        <w:jc w:val="both"/>
      </w:pPr>
      <w:r>
        <w:rPr>
          <w:rFonts w:ascii="Times New Roman"/>
          <w:b w:val="false"/>
          <w:i w:val="false"/>
          <w:color w:val="000000"/>
          <w:sz w:val="28"/>
        </w:rPr>
        <w:t>
      7) наличия ограниченных мер воздействия, санкций, принудительных мер, примененных к лицам, обладающим признаками крупного участника или страхового холдинга, а также к страховой (перестраховочной) организации, страховому брокеру, актуарию, страховому холдингу, организациям, входящим в состав страховой группы, крупным участникам страховой (перестраховочной) организации, организации по формированию и ведению базы данных;</w:t>
      </w:r>
    </w:p>
    <w:p>
      <w:pPr>
        <w:spacing w:after="0"/>
        <w:ind w:left="0"/>
        <w:jc w:val="both"/>
      </w:pPr>
      <w:r>
        <w:rPr>
          <w:rFonts w:ascii="Times New Roman"/>
          <w:b w:val="false"/>
          <w:i w:val="false"/>
          <w:color w:val="000000"/>
          <w:sz w:val="28"/>
        </w:rPr>
        <w:t>
      8) неустойчивого финансового положения лиц, обладающих признаками крупного участника или страхового холдинга, а также страхового холдинга, организаций, входящих в состав страховой группы, крупных участников страховой (перестраховочной) организации, в результате которого страховой (перестраховочной) организацией (страховой группой) допущено нарушение и (или) в результате которого страховой (перестраховочной) организации (страховой группе) причинен или может быть причинен ущерб;</w:t>
      </w:r>
    </w:p>
    <w:p>
      <w:pPr>
        <w:spacing w:after="0"/>
        <w:ind w:left="0"/>
        <w:jc w:val="both"/>
      </w:pPr>
      <w:r>
        <w:rPr>
          <w:rFonts w:ascii="Times New Roman"/>
          <w:b w:val="false"/>
          <w:i w:val="false"/>
          <w:color w:val="000000"/>
          <w:sz w:val="28"/>
        </w:rPr>
        <w:t>
      9) общего финансового состояния страховой (перестраховочной) организации, страхового брокера, страховой группы, Фонда.</w:t>
      </w:r>
    </w:p>
    <w:p>
      <w:pPr>
        <w:spacing w:after="0"/>
        <w:ind w:left="0"/>
        <w:jc w:val="both"/>
      </w:pPr>
      <w:r>
        <w:rPr>
          <w:rFonts w:ascii="Times New Roman"/>
          <w:b w:val="false"/>
          <w:i w:val="false"/>
          <w:color w:val="000000"/>
          <w:sz w:val="28"/>
        </w:rPr>
        <w:t xml:space="preserve">
      Общее финансовое состояние страховой (перестраховочной) организации, страхового брокера, страховой группы, Фонда определяется на основании данных отчетности (финансовой, статистической и иной отчетности), материалов проверок, аудиторских отчетов, выполнения </w:t>
      </w:r>
      <w:r>
        <w:rPr>
          <w:rFonts w:ascii="Times New Roman"/>
          <w:b w:val="false"/>
          <w:i w:val="false"/>
          <w:color w:val="000000"/>
          <w:sz w:val="28"/>
        </w:rPr>
        <w:t>требований</w:t>
      </w:r>
      <w:r>
        <w:rPr>
          <w:rFonts w:ascii="Times New Roman"/>
          <w:b w:val="false"/>
          <w:i w:val="false"/>
          <w:color w:val="000000"/>
          <w:sz w:val="28"/>
        </w:rPr>
        <w:t xml:space="preserve"> по наличию систем управления рисками и внутреннего контроля, а также способности руководства страховой (перестраховочной) организации, страхового брокера, страхового холдинга взаимодействовать с акционерами (участниками) с целью получения финансовой поддержки в случае ухудшения финансового состояния страховой (перестраховочной) организации, страхового брокера, страховой группы.</w:t>
      </w:r>
    </w:p>
    <w:bookmarkStart w:name="z12" w:id="9"/>
    <w:p>
      <w:pPr>
        <w:spacing w:after="0"/>
        <w:ind w:left="0"/>
        <w:jc w:val="both"/>
      </w:pPr>
      <w:r>
        <w:rPr>
          <w:rFonts w:ascii="Times New Roman"/>
          <w:b w:val="false"/>
          <w:i w:val="false"/>
          <w:color w:val="000000"/>
          <w:sz w:val="28"/>
        </w:rPr>
        <w:t>
      3. Уполномоченный орган применяет следующие ограниченные меры воздействия:</w:t>
      </w:r>
    </w:p>
    <w:bookmarkEnd w:id="9"/>
    <w:p>
      <w:pPr>
        <w:spacing w:after="0"/>
        <w:ind w:left="0"/>
        <w:jc w:val="both"/>
      </w:pPr>
      <w:r>
        <w:rPr>
          <w:rFonts w:ascii="Times New Roman"/>
          <w:b w:val="false"/>
          <w:i w:val="false"/>
          <w:color w:val="000000"/>
          <w:sz w:val="28"/>
        </w:rPr>
        <w:t xml:space="preserve">
      1) дача обязательного для исполнения письменного предписания; </w:t>
      </w:r>
    </w:p>
    <w:p>
      <w:pPr>
        <w:spacing w:after="0"/>
        <w:ind w:left="0"/>
        <w:jc w:val="both"/>
      </w:pPr>
      <w:r>
        <w:rPr>
          <w:rFonts w:ascii="Times New Roman"/>
          <w:b w:val="false"/>
          <w:i w:val="false"/>
          <w:color w:val="000000"/>
          <w:sz w:val="28"/>
        </w:rPr>
        <w:t xml:space="preserve">
      2) вынесение письменного предупреждения; </w:t>
      </w:r>
    </w:p>
    <w:p>
      <w:pPr>
        <w:spacing w:after="0"/>
        <w:ind w:left="0"/>
        <w:jc w:val="both"/>
      </w:pPr>
      <w:r>
        <w:rPr>
          <w:rFonts w:ascii="Times New Roman"/>
          <w:b w:val="false"/>
          <w:i w:val="false"/>
          <w:color w:val="000000"/>
          <w:sz w:val="28"/>
        </w:rPr>
        <w:t xml:space="preserve">
      3) составление письменного соглашения. </w:t>
      </w:r>
    </w:p>
    <w:bookmarkStart w:name="z13" w:id="10"/>
    <w:p>
      <w:pPr>
        <w:spacing w:after="0"/>
        <w:ind w:left="0"/>
        <w:jc w:val="both"/>
      </w:pPr>
      <w:r>
        <w:rPr>
          <w:rFonts w:ascii="Times New Roman"/>
          <w:b w:val="false"/>
          <w:i w:val="false"/>
          <w:color w:val="000000"/>
          <w:sz w:val="28"/>
        </w:rPr>
        <w:t>
      4. Уполномоченный орган ведет учет примененных ограниченных мер воздействия и размещает информацию на своем официальном интернет-ресурсе.</w:t>
      </w:r>
    </w:p>
    <w:bookmarkEnd w:id="10"/>
    <w:p>
      <w:pPr>
        <w:spacing w:after="0"/>
        <w:ind w:left="0"/>
        <w:jc w:val="both"/>
      </w:pPr>
      <w:r>
        <w:rPr>
          <w:rFonts w:ascii="Times New Roman"/>
          <w:b w:val="false"/>
          <w:i w:val="false"/>
          <w:color w:val="000000"/>
          <w:sz w:val="28"/>
        </w:rPr>
        <w:t>
      Применение к страховой (перестраховочной) организации, страховому брокеру, актуарию, страховому холдингу, организациям, входящим в состав страховой группы, крупным участникам страховой (перестраховочной) организации, организации по формированию и ведению базы данных одной ограниченной меры воздействия не исключает применение к ним других ограниченных мер воздействия.</w:t>
      </w:r>
    </w:p>
    <w:bookmarkStart w:name="z14" w:id="11"/>
    <w:p>
      <w:pPr>
        <w:spacing w:after="0"/>
        <w:ind w:left="0"/>
        <w:jc w:val="both"/>
      </w:pPr>
      <w:r>
        <w:rPr>
          <w:rFonts w:ascii="Times New Roman"/>
          <w:b w:val="false"/>
          <w:i w:val="false"/>
          <w:color w:val="000000"/>
          <w:sz w:val="28"/>
        </w:rPr>
        <w:t>
      5. Страховая (перестраховочная) организация, страховой брокер, актуарий, страховой холдинг, организации, входящие в состав страховой группы, крупные участники страховой (перестраховочной) организации, организация по формированию и ведению базы данных уведомляют уполномоченный орган об исполнении ограниченной меры воздействия в срок, указанный в соответствующем документе уполномоченного органа о применении ограниченной меры воздействия с приложением копий подтверждающих документов.</w:t>
      </w:r>
    </w:p>
    <w:bookmarkEnd w:id="11"/>
    <w:p>
      <w:pPr>
        <w:spacing w:after="0"/>
        <w:ind w:left="0"/>
        <w:jc w:val="both"/>
      </w:pPr>
      <w:r>
        <w:rPr>
          <w:rFonts w:ascii="Times New Roman"/>
          <w:b w:val="false"/>
          <w:i w:val="false"/>
          <w:color w:val="000000"/>
          <w:sz w:val="28"/>
        </w:rPr>
        <w:t>
      Если установленный в письменном предписании, письменном соглашении срок исполнения устранения нарушения превышает 1 (один) месяц, то страховая (перестраховочная) организация, страховой брокер, актуарий, страховой холдинг, организации, входящие в состав страховой группы, крупные участники страховой (перестраховочной) организации, организация по формированию и ведению базы данных с периодичностью, установленной в ограниченной мере воздействия, уведомляют уполномоченный орган о поэтапном исполнении условий и мероприятий, направленных на устранение нарушения с приложением копий подтверждающих документов.</w:t>
      </w:r>
    </w:p>
    <w:bookmarkStart w:name="z15" w:id="12"/>
    <w:p>
      <w:pPr>
        <w:spacing w:after="0"/>
        <w:ind w:left="0"/>
        <w:jc w:val="both"/>
      </w:pPr>
      <w:r>
        <w:rPr>
          <w:rFonts w:ascii="Times New Roman"/>
          <w:b w:val="false"/>
          <w:i w:val="false"/>
          <w:color w:val="000000"/>
          <w:sz w:val="28"/>
        </w:rPr>
        <w:t>
      6. Началом срока выполнения страховой (перестраховочной) организацией, страховым брокером, актуарием, страховым холдингом, организациями, входящими в состав страховой группы, крупными участниками страховой (перестраховочной) организации, организацией по формированию и ведению базы данных условий и мероприятий, предусмотренных в соответствующем документе уполномоченного органа о применении ограниченной меры воздействия, считается дата его фактического получения.</w:t>
      </w:r>
    </w:p>
    <w:bookmarkEnd w:id="12"/>
    <w:bookmarkStart w:name="z16" w:id="13"/>
    <w:p>
      <w:pPr>
        <w:spacing w:after="0"/>
        <w:ind w:left="0"/>
        <w:jc w:val="left"/>
      </w:pPr>
      <w:r>
        <w:rPr>
          <w:rFonts w:ascii="Times New Roman"/>
          <w:b/>
          <w:i w:val="false"/>
          <w:color w:val="000000"/>
        </w:rPr>
        <w:t xml:space="preserve"> 2. Дача обязательного для исполнения письменного предписания</w:t>
      </w:r>
    </w:p>
    <w:bookmarkEnd w:id="13"/>
    <w:bookmarkStart w:name="z17" w:id="14"/>
    <w:p>
      <w:pPr>
        <w:spacing w:after="0"/>
        <w:ind w:left="0"/>
        <w:jc w:val="both"/>
      </w:pPr>
      <w:r>
        <w:rPr>
          <w:rFonts w:ascii="Times New Roman"/>
          <w:b w:val="false"/>
          <w:i w:val="false"/>
          <w:color w:val="000000"/>
          <w:sz w:val="28"/>
        </w:rPr>
        <w:t>
      7. Уполномоченный орган выносит в адрес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организации по формированию и ведению базы данных письменное предписание о принятии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14"/>
    <w:bookmarkStart w:name="z18" w:id="15"/>
    <w:p>
      <w:pPr>
        <w:spacing w:after="0"/>
        <w:ind w:left="0"/>
        <w:jc w:val="both"/>
      </w:pPr>
      <w:r>
        <w:rPr>
          <w:rFonts w:ascii="Times New Roman"/>
          <w:b w:val="false"/>
          <w:i w:val="false"/>
          <w:color w:val="000000"/>
          <w:sz w:val="28"/>
        </w:rPr>
        <w:t>
      8. Письменное предписание применяется в отношении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организации по формированию и ведению базы данных в случаях, когда это вытекает из характера допущенных нарушений с учетом того, что применение письменного соглашения, письменного предупреждения в отношении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организации по формированию и ведению базы данных не обеспечивает надлежащей корректировки их деятельности.</w:t>
      </w:r>
    </w:p>
    <w:bookmarkEnd w:id="15"/>
    <w:bookmarkStart w:name="z19" w:id="16"/>
    <w:p>
      <w:pPr>
        <w:spacing w:after="0"/>
        <w:ind w:left="0"/>
        <w:jc w:val="both"/>
      </w:pPr>
      <w:r>
        <w:rPr>
          <w:rFonts w:ascii="Times New Roman"/>
          <w:b w:val="false"/>
          <w:i w:val="false"/>
          <w:color w:val="000000"/>
          <w:sz w:val="28"/>
        </w:rPr>
        <w:t>
      9. Обжалование письменного предписания уполномоченного органа в суде не приостанавливает его исполнения.</w:t>
      </w:r>
    </w:p>
    <w:bookmarkEnd w:id="16"/>
    <w:bookmarkStart w:name="z20" w:id="17"/>
    <w:p>
      <w:pPr>
        <w:spacing w:after="0"/>
        <w:ind w:left="0"/>
        <w:jc w:val="both"/>
      </w:pPr>
      <w:r>
        <w:rPr>
          <w:rFonts w:ascii="Times New Roman"/>
          <w:b w:val="false"/>
          <w:i w:val="false"/>
          <w:color w:val="000000"/>
          <w:sz w:val="28"/>
        </w:rPr>
        <w:t>
      10. Коррективные меры указываются в письменном предписании и представляют собой обязательные к исполнению следующие меры:</w:t>
      </w:r>
    </w:p>
    <w:bookmarkEnd w:id="17"/>
    <w:p>
      <w:pPr>
        <w:spacing w:after="0"/>
        <w:ind w:left="0"/>
        <w:jc w:val="both"/>
      </w:pPr>
      <w:r>
        <w:rPr>
          <w:rFonts w:ascii="Times New Roman"/>
          <w:b w:val="false"/>
          <w:i w:val="false"/>
          <w:color w:val="000000"/>
          <w:sz w:val="28"/>
        </w:rPr>
        <w:t xml:space="preserve">
      1) по выполнению обязательств перед страхователями (застрахованными, выгодоприобретателями), Фондом, а также иными кредиторами; </w:t>
      </w:r>
    </w:p>
    <w:p>
      <w:pPr>
        <w:spacing w:after="0"/>
        <w:ind w:left="0"/>
        <w:jc w:val="both"/>
      </w:pPr>
      <w:r>
        <w:rPr>
          <w:rFonts w:ascii="Times New Roman"/>
          <w:b w:val="false"/>
          <w:i w:val="false"/>
          <w:color w:val="000000"/>
          <w:sz w:val="28"/>
        </w:rPr>
        <w:t xml:space="preserve">
      2) по выполнению других требований, предъявляемых к страховой (перестраховочной) организации,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по устранению выявленных нарушений требований нормативных правовых актов уполномоченного органа; </w:t>
      </w:r>
    </w:p>
    <w:p>
      <w:pPr>
        <w:spacing w:after="0"/>
        <w:ind w:left="0"/>
        <w:jc w:val="both"/>
      </w:pPr>
      <w:r>
        <w:rPr>
          <w:rFonts w:ascii="Times New Roman"/>
          <w:b w:val="false"/>
          <w:i w:val="false"/>
          <w:color w:val="000000"/>
          <w:sz w:val="28"/>
        </w:rPr>
        <w:t xml:space="preserve">
      4) по выполнению требований, предъявляемых к страховой (перестраховочной) </w:t>
      </w:r>
      <w:r>
        <w:rPr>
          <w:rFonts w:ascii="Times New Roman"/>
          <w:b w:val="false"/>
          <w:i w:val="false"/>
          <w:color w:val="000000"/>
          <w:sz w:val="28"/>
        </w:rPr>
        <w:t>организации</w:t>
      </w:r>
      <w:r>
        <w:rPr>
          <w:rFonts w:ascii="Times New Roman"/>
          <w:b w:val="false"/>
          <w:i w:val="false"/>
          <w:color w:val="000000"/>
          <w:sz w:val="28"/>
        </w:rPr>
        <w:t xml:space="preserve">, </w:t>
      </w:r>
      <w:r>
        <w:rPr>
          <w:rFonts w:ascii="Times New Roman"/>
          <w:b w:val="false"/>
          <w:i w:val="false"/>
          <w:color w:val="000000"/>
          <w:sz w:val="28"/>
        </w:rPr>
        <w:t>страховому</w:t>
      </w:r>
      <w:r>
        <w:rPr>
          <w:rFonts w:ascii="Times New Roman"/>
          <w:b w:val="false"/>
          <w:i w:val="false"/>
          <w:color w:val="000000"/>
          <w:sz w:val="28"/>
        </w:rPr>
        <w:t xml:space="preserve"> брокеру, </w:t>
      </w:r>
      <w:r>
        <w:rPr>
          <w:rFonts w:ascii="Times New Roman"/>
          <w:b w:val="false"/>
          <w:i w:val="false"/>
          <w:color w:val="000000"/>
          <w:sz w:val="28"/>
        </w:rPr>
        <w:t>актуарию</w:t>
      </w:r>
      <w:r>
        <w:rPr>
          <w:rFonts w:ascii="Times New Roman"/>
          <w:b w:val="false"/>
          <w:i w:val="false"/>
          <w:color w:val="000000"/>
          <w:sz w:val="28"/>
        </w:rPr>
        <w:t xml:space="preserve">, </w:t>
      </w:r>
      <w:r>
        <w:rPr>
          <w:rFonts w:ascii="Times New Roman"/>
          <w:b w:val="false"/>
          <w:i w:val="false"/>
          <w:color w:val="000000"/>
          <w:sz w:val="28"/>
        </w:rPr>
        <w:t>страховому холдингу</w:t>
      </w:r>
      <w:r>
        <w:rPr>
          <w:rFonts w:ascii="Times New Roman"/>
          <w:b w:val="false"/>
          <w:i w:val="false"/>
          <w:color w:val="000000"/>
          <w:sz w:val="28"/>
        </w:rPr>
        <w:t xml:space="preserve">, организациям, входящим в состав страховой группы, </w:t>
      </w:r>
      <w:r>
        <w:rPr>
          <w:rFonts w:ascii="Times New Roman"/>
          <w:b w:val="false"/>
          <w:i w:val="false"/>
          <w:color w:val="000000"/>
          <w:sz w:val="28"/>
        </w:rPr>
        <w:t>крупным участникам</w:t>
      </w:r>
      <w:r>
        <w:rPr>
          <w:rFonts w:ascii="Times New Roman"/>
          <w:b w:val="false"/>
          <w:i w:val="false"/>
          <w:color w:val="000000"/>
          <w:sz w:val="28"/>
        </w:rPr>
        <w:t xml:space="preserve"> страховой (перестраховочной) организации,  </w:t>
      </w:r>
      <w:r>
        <w:rPr>
          <w:rFonts w:ascii="Times New Roman"/>
          <w:b w:val="false"/>
          <w:i w:val="false"/>
          <w:color w:val="000000"/>
          <w:sz w:val="28"/>
        </w:rPr>
        <w:t>организации</w:t>
      </w:r>
      <w:r>
        <w:rPr>
          <w:rFonts w:ascii="Times New Roman"/>
          <w:b w:val="false"/>
          <w:i w:val="false"/>
          <w:color w:val="000000"/>
          <w:sz w:val="28"/>
        </w:rPr>
        <w:t xml:space="preserve"> по формированию и ведению базы данных законодательством Республики Казахстан о страховании и страховой деятельности.</w:t>
      </w:r>
    </w:p>
    <w:bookmarkStart w:name="z21" w:id="18"/>
    <w:p>
      <w:pPr>
        <w:spacing w:after="0"/>
        <w:ind w:left="0"/>
        <w:jc w:val="both"/>
      </w:pPr>
      <w:r>
        <w:rPr>
          <w:rFonts w:ascii="Times New Roman"/>
          <w:b w:val="false"/>
          <w:i w:val="false"/>
          <w:color w:val="000000"/>
          <w:sz w:val="28"/>
        </w:rPr>
        <w:t>
      11. Страховая (перестраховочная) организация, страховой брокер, актуарий, страховой холдинг, организации, входящие в состав страховой группы, крупные участники страховой (перестраховочной) организации, организация по формированию и ведению базы данных в срок, установленный письменным предписанием, представляют в уполномоченный орган План мероприятий с указанием описания нарушений, причин и условий, приведших к их возникновению, перечня запланированных мероприятий, сроков их осуществления, а также ответственных должностных лиц.</w:t>
      </w:r>
    </w:p>
    <w:bookmarkEnd w:id="18"/>
    <w:bookmarkStart w:name="z22" w:id="19"/>
    <w:p>
      <w:pPr>
        <w:spacing w:after="0"/>
        <w:ind w:left="0"/>
        <w:jc w:val="both"/>
      </w:pPr>
      <w:r>
        <w:rPr>
          <w:rFonts w:ascii="Times New Roman"/>
          <w:b w:val="false"/>
          <w:i w:val="false"/>
          <w:color w:val="000000"/>
          <w:sz w:val="28"/>
        </w:rPr>
        <w:t xml:space="preserve">
      12. Уполномоченный орган рассматривает представленный План мероприятий в течение 10 (десяти) рабочих дней и в случае несогласия направляет по нему свое заключение, которое содержит указание страховой (перестраховочной) организации, страховому брокеру, актуарию, страховому холдингу, организациям, входящим в состав страховой группы, крупным участникам страховой (перестраховочной) организации, организации по формированию и ведению базы данных о необходимости выполнения мероприятий в определенные сроки. </w:t>
      </w:r>
    </w:p>
    <w:bookmarkEnd w:id="19"/>
    <w:bookmarkStart w:name="z23" w:id="20"/>
    <w:p>
      <w:pPr>
        <w:spacing w:after="0"/>
        <w:ind w:left="0"/>
        <w:jc w:val="both"/>
      </w:pPr>
      <w:r>
        <w:rPr>
          <w:rFonts w:ascii="Times New Roman"/>
          <w:b w:val="false"/>
          <w:i w:val="false"/>
          <w:color w:val="000000"/>
          <w:sz w:val="28"/>
        </w:rPr>
        <w:t xml:space="preserve">
      13. В случае непредставления уполномоченным органом заключения в течение указанного срока План мероприятий считается принятым. </w:t>
      </w:r>
    </w:p>
    <w:bookmarkEnd w:id="20"/>
    <w:bookmarkStart w:name="z24" w:id="21"/>
    <w:p>
      <w:pPr>
        <w:spacing w:after="0"/>
        <w:ind w:left="0"/>
        <w:jc w:val="both"/>
      </w:pPr>
      <w:r>
        <w:rPr>
          <w:rFonts w:ascii="Times New Roman"/>
          <w:b w:val="false"/>
          <w:i w:val="false"/>
          <w:color w:val="000000"/>
          <w:sz w:val="28"/>
        </w:rPr>
        <w:t xml:space="preserve">
      14. Уполномоченный орган требует представления Плана мероприятий в тех случаях, когда в деятельности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организации по формированию и ведению базы данных отмечаются нарушения законодательства Республики Казахстан о страховании и страховой деятельности, устранение которых объективно возможно принятием мер со стороны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организации по формированию и ведению базы данных. </w:t>
      </w:r>
    </w:p>
    <w:bookmarkEnd w:id="21"/>
    <w:bookmarkStart w:name="z25" w:id="22"/>
    <w:p>
      <w:pPr>
        <w:spacing w:after="0"/>
        <w:ind w:left="0"/>
        <w:jc w:val="both"/>
      </w:pPr>
      <w:r>
        <w:rPr>
          <w:rFonts w:ascii="Times New Roman"/>
          <w:b w:val="false"/>
          <w:i w:val="false"/>
          <w:color w:val="000000"/>
          <w:sz w:val="28"/>
        </w:rPr>
        <w:t>
      15. Уполномоченный орган указывает страховой (перестраховочной) организации, страховому брокеру, актуарию, страховому холдингу, организациям, входящим в состав страховой группы, крупным участникам страховой (перестраховочной) организации, организации по формированию и ведению базы данных на необходимость представления Плана мероприятий, при наличии оснований полагать, что страховая (перестраховочная) организация, страховой брокер, актуарий, страховой холдинг, организации, входящие в состав страховой группы, крупные участники страховой (перестраховочной) организации, организация по формированию и ведению базы данных намерены и в состоянии обеспечить выполнение запланированных мероприятий по устранению выявленных нарушений и (или) причин, а также условий, способствовавших их совершению.</w:t>
      </w:r>
    </w:p>
    <w:bookmarkEnd w:id="22"/>
    <w:p>
      <w:pPr>
        <w:spacing w:after="0"/>
        <w:ind w:left="0"/>
        <w:jc w:val="both"/>
      </w:pPr>
      <w:r>
        <w:rPr>
          <w:rFonts w:ascii="Times New Roman"/>
          <w:b w:val="false"/>
          <w:i w:val="false"/>
          <w:color w:val="000000"/>
          <w:sz w:val="28"/>
        </w:rPr>
        <w:t>
      В Плане мероприятий содержится перечень запланированных мероприятий по устранению выявленных нарушений и (или) причин, а также условий, способствовавших их совершению и сроки их осуществления, которые признаются уполномоченным органом достаточными для устранения выявленных нарушений и (или) причин, а также условий, способствовавших их совершению.</w:t>
      </w:r>
    </w:p>
    <w:bookmarkStart w:name="z26" w:id="23"/>
    <w:p>
      <w:pPr>
        <w:spacing w:after="0"/>
        <w:ind w:left="0"/>
        <w:jc w:val="both"/>
      </w:pPr>
      <w:r>
        <w:rPr>
          <w:rFonts w:ascii="Times New Roman"/>
          <w:b w:val="false"/>
          <w:i w:val="false"/>
          <w:color w:val="000000"/>
          <w:sz w:val="28"/>
        </w:rPr>
        <w:t>
      16. Уполномоченный орган осуществляет проверку исполнения страховой (перестраховочной) организацией, страховым брокером, актуарием, страховым холдингом, организациями, входящими в состав страховой группы, крупными участниками страховой (перестраховочной) организации, организацией по формированию и ведению базы данных принятого Плана мероприятий.</w:t>
      </w:r>
    </w:p>
    <w:bookmarkEnd w:id="23"/>
    <w:bookmarkStart w:name="z27" w:id="24"/>
    <w:p>
      <w:pPr>
        <w:spacing w:after="0"/>
        <w:ind w:left="0"/>
        <w:jc w:val="both"/>
      </w:pPr>
      <w:r>
        <w:rPr>
          <w:rFonts w:ascii="Times New Roman"/>
          <w:b w:val="false"/>
          <w:i w:val="false"/>
          <w:color w:val="000000"/>
          <w:sz w:val="28"/>
        </w:rPr>
        <w:t>
      17. Письменное предписание доводится до сведения актуария, крупного участника страховой (перестраховочной) организации, являющегося физическим лицом, руководителей исполнительных органов страховой (перестраховочной) организации, крупного участника страховой (перестраховочной) организации, являющегося юридическим лицом, страхового брокера, страхового холдинга, организаций, входящих в состав страховой группы, организации по формированию и ведению базы данных или лиц, их замещающих.</w:t>
      </w:r>
    </w:p>
    <w:bookmarkEnd w:id="24"/>
    <w:bookmarkStart w:name="z28" w:id="25"/>
    <w:p>
      <w:pPr>
        <w:spacing w:after="0"/>
        <w:ind w:left="0"/>
        <w:jc w:val="both"/>
      </w:pPr>
      <w:r>
        <w:rPr>
          <w:rFonts w:ascii="Times New Roman"/>
          <w:b w:val="false"/>
          <w:i w:val="false"/>
          <w:color w:val="000000"/>
          <w:sz w:val="28"/>
        </w:rPr>
        <w:t>
      18. Руководитель исполнительного органа страховой (перестраховочной) организации, крупного участника страховой (перестраховочной) организации, являющегося юридическим лицом, страхового брокера, страхового холдинга, организации, входящей в состав страховой группы, организации по формированию и ведению базы данных или лицо, его замещающее, в течение 5 (пяти) календарных дней со дня получения письменного предписания ставит в известность всех членов исполнительного органа и органа управления страховой (перестраховочной) организации, страхового брокера, страхового холдинга, организации, входящей в состав страховой группы, крупного участника страховой (перестраховочной) организации, организации по формированию и ведению базы данных о вынесении письменного предписания.</w:t>
      </w:r>
    </w:p>
    <w:bookmarkEnd w:id="25"/>
    <w:bookmarkStart w:name="z29" w:id="26"/>
    <w:p>
      <w:pPr>
        <w:spacing w:after="0"/>
        <w:ind w:left="0"/>
        <w:jc w:val="left"/>
      </w:pPr>
      <w:r>
        <w:rPr>
          <w:rFonts w:ascii="Times New Roman"/>
          <w:b/>
          <w:i w:val="false"/>
          <w:color w:val="000000"/>
        </w:rPr>
        <w:t xml:space="preserve"> 3. Вынесение письменного предупреждения</w:t>
      </w:r>
    </w:p>
    <w:bookmarkEnd w:id="26"/>
    <w:bookmarkStart w:name="z30" w:id="27"/>
    <w:p>
      <w:pPr>
        <w:spacing w:after="0"/>
        <w:ind w:left="0"/>
        <w:jc w:val="both"/>
      </w:pPr>
      <w:r>
        <w:rPr>
          <w:rFonts w:ascii="Times New Roman"/>
          <w:b w:val="false"/>
          <w:i w:val="false"/>
          <w:color w:val="000000"/>
          <w:sz w:val="28"/>
        </w:rPr>
        <w:t xml:space="preserve">
      19. Уполномоченный орган выносит письменное предупреждение в отношении страховой (перестраховочной) организации, страхового брокера, актуария, страхового холдинга, организаций, входящих в состав страховой группы, крупных участников страховой (перестраховочной) организации о возможности применения санкций, предусмотренных </w:t>
      </w:r>
      <w:r>
        <w:rPr>
          <w:rFonts w:ascii="Times New Roman"/>
          <w:b w:val="false"/>
          <w:i w:val="false"/>
          <w:color w:val="000000"/>
          <w:sz w:val="28"/>
        </w:rPr>
        <w:t>статьей 53-3</w:t>
      </w:r>
      <w:r>
        <w:rPr>
          <w:rFonts w:ascii="Times New Roman"/>
          <w:b w:val="false"/>
          <w:i w:val="false"/>
          <w:color w:val="000000"/>
          <w:sz w:val="28"/>
        </w:rPr>
        <w:t xml:space="preserve"> Закона, в случае выявления уполномоченным органом в течение 1 (одного) года после вынесения письменного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bookmarkEnd w:id="27"/>
    <w:bookmarkStart w:name="z31" w:id="28"/>
    <w:p>
      <w:pPr>
        <w:spacing w:after="0"/>
        <w:ind w:left="0"/>
        <w:jc w:val="both"/>
      </w:pPr>
      <w:r>
        <w:rPr>
          <w:rFonts w:ascii="Times New Roman"/>
          <w:b w:val="false"/>
          <w:i w:val="false"/>
          <w:color w:val="000000"/>
          <w:sz w:val="28"/>
        </w:rPr>
        <w:t>
      20. Письменное предупреждение доводится до сведения крупного участника страховой (перестраховочной) организации, являющегося физическим лицом, актуария, руководителей исполнительных органов страховой (перестраховочной) организации, крупного участника страховой (перестраховочной) организации, являющегося юридическим лицом, страхового брокера, страхового холдинга, организаций, входящих в состав страховой группы или лиц, их замещающих.</w:t>
      </w:r>
    </w:p>
    <w:bookmarkEnd w:id="28"/>
    <w:bookmarkStart w:name="z32" w:id="29"/>
    <w:p>
      <w:pPr>
        <w:spacing w:after="0"/>
        <w:ind w:left="0"/>
        <w:jc w:val="both"/>
      </w:pPr>
      <w:r>
        <w:rPr>
          <w:rFonts w:ascii="Times New Roman"/>
          <w:b w:val="false"/>
          <w:i w:val="false"/>
          <w:color w:val="000000"/>
          <w:sz w:val="28"/>
        </w:rPr>
        <w:t>
      21. Руководитель исполнительного органа страховой (перестраховочной) организации, крупного участника страховой  (перестраховочной) организации, являющегося юридическим лицом, страхового брокера, страхового холдинга, организации, входящей в состав страховой группы или лицо, его замещающее, в течение 5 (пяти) календарных дней со дня получения письменного предупреждения ставит в  известность всех членов исполнительного органа и органа управления страховой (перестраховочной) организации, страхового брокера, страхового холдинга, организации, входящей в состав страховой группы, крупного участника страховой (перестраховочной) организации о вынесении письменного предупреждения.</w:t>
      </w:r>
    </w:p>
    <w:bookmarkEnd w:id="29"/>
    <w:bookmarkStart w:name="z33" w:id="30"/>
    <w:p>
      <w:pPr>
        <w:spacing w:after="0"/>
        <w:ind w:left="0"/>
        <w:jc w:val="left"/>
      </w:pPr>
      <w:r>
        <w:rPr>
          <w:rFonts w:ascii="Times New Roman"/>
          <w:b/>
          <w:i w:val="false"/>
          <w:color w:val="000000"/>
        </w:rPr>
        <w:t xml:space="preserve"> 3. Составление письменного соглашения</w:t>
      </w:r>
    </w:p>
    <w:bookmarkEnd w:id="30"/>
    <w:bookmarkStart w:name="z34" w:id="31"/>
    <w:p>
      <w:pPr>
        <w:spacing w:after="0"/>
        <w:ind w:left="0"/>
        <w:jc w:val="both"/>
      </w:pPr>
      <w:r>
        <w:rPr>
          <w:rFonts w:ascii="Times New Roman"/>
          <w:b w:val="false"/>
          <w:i w:val="false"/>
          <w:color w:val="000000"/>
          <w:sz w:val="28"/>
        </w:rPr>
        <w:t>
      22. Уполномоченный орган заключает со страховой  (перестраховочной) организации, страховым брокером, страховым холдингом, организациями, входящими в состав страхового холдинга, крупными участниками страховой (перестраховочной) организации,  организацией по формированию и ведению базы данных письменное соглашение о необходимости устранения выявленных нарушений и об утверждении перечня мер по устранению этих нарушений с указанием сроков их устранения и (или) перечня ограничений, которые на себя принимают страховая (перестраховочная) организация, страховой брокер, страховой холдинг, организации, входящие в состав страховой группы, крупные участники страховой (перестраховочной) организации, организация по формированию и ведению базы данных до устранения выявленных нарушений.</w:t>
      </w:r>
    </w:p>
    <w:bookmarkEnd w:id="31"/>
    <w:p>
      <w:pPr>
        <w:spacing w:after="0"/>
        <w:ind w:left="0"/>
        <w:jc w:val="both"/>
      </w:pPr>
      <w:r>
        <w:rPr>
          <w:rFonts w:ascii="Times New Roman"/>
          <w:b w:val="false"/>
          <w:i w:val="false"/>
          <w:color w:val="000000"/>
          <w:sz w:val="28"/>
        </w:rPr>
        <w:t>
      Письменное соглашение заключается с крупным участником страховой (перестраховочной) организации, являющимся физическим лицом, руководителями органов управления и (или) исполнительных органов страховой (перестраховочной) организации, крупного участника страховой (перестраховочной) организации, являющегося юридическим лицом, страхового брокера, страхового холдинга, организации, входящей в состав страховой группы, организации по формированию и ведению базы данных или лицами, их замещающими.</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страховой (перестраховочной) организации, страхового брокера, страхового холдинга, организации, входящей в состав страховой группы, крупного участника страховой (перестраховочной) организации, организации по формированию и ведению базы данных.</w:t>
      </w:r>
    </w:p>
    <w:bookmarkStart w:name="z35" w:id="32"/>
    <w:p>
      <w:pPr>
        <w:spacing w:after="0"/>
        <w:ind w:left="0"/>
        <w:jc w:val="both"/>
      </w:pPr>
      <w:r>
        <w:rPr>
          <w:rFonts w:ascii="Times New Roman"/>
          <w:b w:val="false"/>
          <w:i w:val="false"/>
          <w:color w:val="000000"/>
          <w:sz w:val="28"/>
        </w:rPr>
        <w:t>
      23. Письменное соглашение заключается в случаях:</w:t>
      </w:r>
    </w:p>
    <w:bookmarkEnd w:id="32"/>
    <w:p>
      <w:pPr>
        <w:spacing w:after="0"/>
        <w:ind w:left="0"/>
        <w:jc w:val="both"/>
      </w:pPr>
      <w:r>
        <w:rPr>
          <w:rFonts w:ascii="Times New Roman"/>
          <w:b w:val="false"/>
          <w:i w:val="false"/>
          <w:color w:val="000000"/>
          <w:sz w:val="28"/>
        </w:rPr>
        <w:t>
      1) когда в деятельности страховой (перестраховочной) организации, страхового брокера, страховой группы ожидается серьезное финансовое ухудшение, то есть состояние может быстро ухудшиться, если не принять эффективных скоординированных мер по их исправлению;</w:t>
      </w:r>
    </w:p>
    <w:p>
      <w:pPr>
        <w:spacing w:after="0"/>
        <w:ind w:left="0"/>
        <w:jc w:val="both"/>
      </w:pPr>
      <w:r>
        <w:rPr>
          <w:rFonts w:ascii="Times New Roman"/>
          <w:b w:val="false"/>
          <w:i w:val="false"/>
          <w:color w:val="000000"/>
          <w:sz w:val="28"/>
        </w:rPr>
        <w:t xml:space="preserve">
      2) неисполнения или несвоевременного исполнения плана мероприятий страховой (перестраховочной) организации, страхового холдинга и (или) его акционеров (крупных участников), предусматривающего меры раннего реагирования по повышению финансовой устойчивости страховой (перестраховочной) организации, страховой группы, недопущению ухудшения их финансового положения и увеличения рисков, связанных с их деятельностью, и (или) мер раннего реагирования в соответствии с требованиями, предусмотренными </w:t>
      </w:r>
      <w:r>
        <w:rPr>
          <w:rFonts w:ascii="Times New Roman"/>
          <w:b w:val="false"/>
          <w:i w:val="false"/>
          <w:color w:val="000000"/>
          <w:sz w:val="28"/>
        </w:rPr>
        <w:t>статьей 53</w:t>
      </w:r>
      <w:r>
        <w:rPr>
          <w:rFonts w:ascii="Times New Roman"/>
          <w:b w:val="false"/>
          <w:i w:val="false"/>
          <w:color w:val="000000"/>
          <w:sz w:val="28"/>
        </w:rPr>
        <w:t xml:space="preserve"> Закона.</w:t>
      </w:r>
    </w:p>
    <w:bookmarkStart w:name="z36" w:id="33"/>
    <w:p>
      <w:pPr>
        <w:spacing w:after="0"/>
        <w:ind w:left="0"/>
        <w:jc w:val="both"/>
      </w:pPr>
      <w:r>
        <w:rPr>
          <w:rFonts w:ascii="Times New Roman"/>
          <w:b w:val="false"/>
          <w:i w:val="false"/>
          <w:color w:val="000000"/>
          <w:sz w:val="28"/>
        </w:rPr>
        <w:t>
      24. В письменном соглашении указывается перечень мер по устранению выявленных нарушений и сроки их исполнения и (или) перечень обязательств, которые на себя принимает крупный участник страховой (перестраховочной) организации, являющийся физическим лицом, орган управления и (или) исполнительный орган страховой (перестраховочной) организации, крупного участника страховой (перестраховочной) организации, являющегося юридическим лицом, страхового брокера, страхового холдинга, организации, входящей в состав страховой группы, организации по формированию и ведению базы данных. Подписав письменное соглашение, страховая (перестраховочная) организация, крупный участник страховой (перестраховочной) организации, страховой брокер, страховой холдинг, организация, входящая в состав страховой группы, организация по формированию и ведению базы данных принимают на себя обязательства по выполнению его условий.</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