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f455" w14:textId="9f3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8. Зарегистрирован в Министерстве юстиции Республики Казахстан 29 февраля 2016 года № 13305.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прав потребителей финансовых услуг (Терентьев А.Л.)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направить настоящее постановление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договоры, заключенные с 1 июля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Методик распространяются на филиалы банков - 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29.01.2021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Методики применяются к расчету проектов графиков погашения задолженности методами </w:t>
      </w:r>
      <w:r>
        <w:rPr>
          <w:rFonts w:ascii="Times New Roman"/>
          <w:b w:val="false"/>
          <w:i w:val="false"/>
          <w:color w:val="000000"/>
          <w:sz w:val="28"/>
        </w:rPr>
        <w:t>дифференцированных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аннуитетных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Банк, организация, осуществляющая отдельные виды банковских операций, организация, осуществляющая микрофинансовую деятельность, до заключения договора банковского займа (договора о предоставлении микрокредита) предоставляет физическому лицу (далее - заемщик) для выбора метода погашения займа (микрокредита) проекты графиков погашения займа (микрокредита), рассчитанных методами дифференцированных и аннуитетных платежей.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Методика расчета регулярных платежей методом аннуитетных</w:t>
      </w:r>
      <w:r>
        <w:br/>
      </w:r>
      <w:r>
        <w:rPr>
          <w:rFonts w:ascii="Times New Roman"/>
          <w:b/>
          <w:i w:val="false"/>
          <w:color w:val="000000"/>
        </w:rPr>
        <w:t>платежей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размера регулярного (ежемесячного) аннуитетного платежа осуществляется по следующей формуле (результат вычисления округляется до двух знаков после запятой):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i/12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P = S * 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1-(1+i/12)</w:t>
      </w:r>
      <w:r>
        <w:rPr>
          <w:rFonts w:ascii="Times New Roman"/>
          <w:b w:val="false"/>
          <w:i w:val="false"/>
          <w:color w:val="000000"/>
          <w:vertAlign w:val="superscript"/>
        </w:rPr>
        <w:t>-n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(ежемесячного) аннуитетного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ставка вознаграждения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погашений.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временных баз, предусмотренных подпунктами 1) и 2) пункта 9 Методик, формула расчета регулярного (ежемесячного) аннуитетного платежа подлежит корректировке в части учета количества дней в периоде начисления процентов.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P –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(ежемесячном) аннуитетном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(ежемесячного) аннуитетного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размер вознаграждения.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Размеры первого и последнего платежей в графике погашения задолженности по займу (микрокредиту) могут отличаться от регулярных (ежемесячных) аннуитетных платежей.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Методика расчета регулярных платежей методом</w:t>
      </w:r>
      <w:r>
        <w:br/>
      </w:r>
      <w:r>
        <w:rPr>
          <w:rFonts w:ascii="Times New Roman"/>
          <w:b/>
          <w:i w:val="false"/>
          <w:color w:val="000000"/>
        </w:rPr>
        <w:t>дифференцированных платежей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дифференцированном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займа (микрокредита);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погашений.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размера регулярного дифференцированного платежа осуществляется по следующей формуле (результат вычисления округляется до двух знаков после запятой):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дифференцированного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дифференцированном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размер вознаграждения.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Временные базы для расчета вознаграждения по займу</w:t>
      </w:r>
      <w:r>
        <w:br/>
      </w:r>
      <w:r>
        <w:rPr>
          <w:rFonts w:ascii="Times New Roman"/>
          <w:b/>
          <w:i w:val="false"/>
          <w:color w:val="000000"/>
        </w:rPr>
        <w:t>(микрокредиту) и порядок расчета вознаграждения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вознаграждения по займу (микрокредиту), предусмотренному в пункте 13 Методики, банками, организациями, осуществляющими отдельные виды банковских операций, и организациями, осуществляющими микрофинансовую деятельность, используются следующие временные базы, равные: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360 (тремстам шестидесяти) дням в году и фактическому количеству дней в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365 (тремстам шестидесяти пяти) или 366 (тремстам шестидесяти шести) дням в году и фактическому количеству дней в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360 (тремстам шестидесяти) дням в году и 30 (тридцати) дням в месяце.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вознаграждения производится простым методом начисления процентов. Под простым методом начисления процентов следует понимать начисление процентов только на остаток задолженности по займу (микрокредиту).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досрочном погашении займа (микрокредита) расчет вознаграждения производится за фактическое количество дней пользования займом (микрокредитом).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целей расчета вознаграждения дата предоставления займа (микрокредита) и дата полного исполнения обязательства по возврату займа (микрокредита) принимаются за один день.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вознаграждения по займу (микрокредиту) осуществляется по следующей формуле (результат вычисления округляется до двух знаков после запятой):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i*n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I = S * ----------------------------,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360/365/366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сумма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ставка вознаграждения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дней в периоде, за который начисляются проценты.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