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f52d2" w14:textId="61f52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деятельности центрального контрагента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января 2016 года № 10. Зарегистрирован в Министерстве юстиции Республики Казахстан 27 февраля 2016 года № 13297. Утратило силу постановлением Правления Национального Банка Республики Казахстан от 29 октября 2018 года № 254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29.10.2018 </w:t>
      </w:r>
      <w:r>
        <w:rPr>
          <w:rFonts w:ascii="Times New Roman"/>
          <w:b w:val="false"/>
          <w:i w:val="false"/>
          <w:color w:val="ff0000"/>
          <w:sz w:val="28"/>
        </w:rPr>
        <w:t>№ 254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Правление Национального Банка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деятельности центрального контрагента.</w:t>
      </w:r>
    </w:p>
    <w:bookmarkEnd w:id="1"/>
    <w:bookmarkStart w:name="z3" w:id="2"/>
    <w:p>
      <w:pPr>
        <w:spacing w:after="0"/>
        <w:ind w:left="0"/>
        <w:jc w:val="both"/>
      </w:pPr>
      <w:r>
        <w:rPr>
          <w:rFonts w:ascii="Times New Roman"/>
          <w:b w:val="false"/>
          <w:i w:val="false"/>
          <w:color w:val="000000"/>
          <w:sz w:val="28"/>
        </w:rPr>
        <w:t>
      2. Департаменту методологии контроля и надзора (Абдрахманов 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совместно с Департаментом правового обеспечения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4" w:id="3"/>
    <w:p>
      <w:pPr>
        <w:spacing w:after="0"/>
        <w:ind w:left="0"/>
        <w:jc w:val="both"/>
      </w:pPr>
      <w:r>
        <w:rPr>
          <w:rFonts w:ascii="Times New Roman"/>
          <w:b w:val="false"/>
          <w:i w:val="false"/>
          <w:color w:val="000000"/>
          <w:sz w:val="28"/>
        </w:rPr>
        <w:t>
      3.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Смолякова О.А.</w:t>
      </w:r>
    </w:p>
    <w:bookmarkEnd w:id="4"/>
    <w:bookmarkStart w:name="z6"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 № 10</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осуществления деятельности центрального контрагента</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осуществления деятельности центрального контрагента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 июля 2003 года "О рынке ценных бумаг" </w:t>
      </w:r>
    </w:p>
    <w:bookmarkEnd w:id="7"/>
    <w:p>
      <w:pPr>
        <w:spacing w:after="0"/>
        <w:ind w:left="0"/>
        <w:jc w:val="both"/>
      </w:pPr>
      <w:r>
        <w:rPr>
          <w:rFonts w:ascii="Times New Roman"/>
          <w:b w:val="false"/>
          <w:i w:val="false"/>
          <w:color w:val="000000"/>
          <w:sz w:val="28"/>
        </w:rPr>
        <w:t>
      (далее - Закон о рынке ценных бумаг) и устанавливают условия и порядок осуществления деятельности центрального контрагента в Республике Казахстан.</w:t>
      </w:r>
    </w:p>
    <w:p>
      <w:pPr>
        <w:spacing w:after="0"/>
        <w:ind w:left="0"/>
        <w:jc w:val="both"/>
      </w:pPr>
      <w:r>
        <w:rPr>
          <w:rFonts w:ascii="Times New Roman"/>
          <w:b w:val="false"/>
          <w:i w:val="false"/>
          <w:color w:val="000000"/>
          <w:sz w:val="28"/>
        </w:rPr>
        <w:t xml:space="preserve">
      В части, которая не урегулирована нормативными правовыми актами Республики Казахстан, деятельность центрального контрагента осуществляется в соответствии с </w:t>
      </w:r>
      <w:r>
        <w:rPr>
          <w:rFonts w:ascii="Times New Roman"/>
          <w:b w:val="false"/>
          <w:i w:val="false"/>
          <w:color w:val="000000"/>
          <w:sz w:val="28"/>
        </w:rPr>
        <w:t>внутренними документами</w:t>
      </w:r>
      <w:r>
        <w:rPr>
          <w:rFonts w:ascii="Times New Roman"/>
          <w:b w:val="false"/>
          <w:i w:val="false"/>
          <w:color w:val="000000"/>
          <w:sz w:val="28"/>
        </w:rPr>
        <w:t xml:space="preserve"> центрального контрагента, заключенными между центральным контрагентом и его клиентами договорами обслуживания, если они не противоречит законодательству Республики Казахстан.</w:t>
      </w:r>
    </w:p>
    <w:bookmarkStart w:name="z11" w:id="8"/>
    <w:p>
      <w:pPr>
        <w:spacing w:after="0"/>
        <w:ind w:left="0"/>
        <w:jc w:val="both"/>
      </w:pPr>
      <w:r>
        <w:rPr>
          <w:rFonts w:ascii="Times New Roman"/>
          <w:b w:val="false"/>
          <w:i w:val="false"/>
          <w:color w:val="000000"/>
          <w:sz w:val="28"/>
        </w:rPr>
        <w:t>
      2. Центральный контрагент не привлекает иных лиц для осуществления функций, прав и исполнения своих обязанностей как центрального контрагента.</w:t>
      </w:r>
    </w:p>
    <w:bookmarkEnd w:id="8"/>
    <w:bookmarkStart w:name="z12" w:id="9"/>
    <w:p>
      <w:pPr>
        <w:spacing w:after="0"/>
        <w:ind w:left="0"/>
        <w:jc w:val="both"/>
      </w:pPr>
      <w:r>
        <w:rPr>
          <w:rFonts w:ascii="Times New Roman"/>
          <w:b w:val="false"/>
          <w:i w:val="false"/>
          <w:color w:val="000000"/>
          <w:sz w:val="28"/>
        </w:rPr>
        <w:t>
      3. Организационная структура центрального контрагента включает в себя подразделения, функциями которых являются:</w:t>
      </w:r>
    </w:p>
    <w:bookmarkEnd w:id="9"/>
    <w:p>
      <w:pPr>
        <w:spacing w:after="0"/>
        <w:ind w:left="0"/>
        <w:jc w:val="both"/>
      </w:pPr>
      <w:r>
        <w:rPr>
          <w:rFonts w:ascii="Times New Roman"/>
          <w:b w:val="false"/>
          <w:i w:val="false"/>
          <w:color w:val="000000"/>
          <w:sz w:val="28"/>
        </w:rPr>
        <w:t xml:space="preserve">
      1) обеспечение создания и функционирования </w:t>
      </w:r>
      <w:r>
        <w:rPr>
          <w:rFonts w:ascii="Times New Roman"/>
          <w:b w:val="false"/>
          <w:i w:val="false"/>
          <w:color w:val="000000"/>
          <w:sz w:val="28"/>
        </w:rPr>
        <w:t>системы управления рисками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управление специальными гарантийными и резервными фондами центрального контрагента; </w:t>
      </w:r>
    </w:p>
    <w:p>
      <w:pPr>
        <w:spacing w:after="0"/>
        <w:ind w:left="0"/>
        <w:jc w:val="both"/>
      </w:pPr>
      <w:r>
        <w:rPr>
          <w:rFonts w:ascii="Times New Roman"/>
          <w:b w:val="false"/>
          <w:i w:val="false"/>
          <w:color w:val="000000"/>
          <w:sz w:val="28"/>
        </w:rPr>
        <w:t xml:space="preserve">
      3) осуществление </w:t>
      </w:r>
      <w:r>
        <w:rPr>
          <w:rFonts w:ascii="Times New Roman"/>
          <w:b w:val="false"/>
          <w:i w:val="false"/>
          <w:color w:val="000000"/>
          <w:sz w:val="28"/>
        </w:rPr>
        <w:t>клиринговой деятельности</w:t>
      </w:r>
      <w:r>
        <w:rPr>
          <w:rFonts w:ascii="Times New Roman"/>
          <w:b w:val="false"/>
          <w:i w:val="false"/>
          <w:color w:val="000000"/>
          <w:sz w:val="28"/>
        </w:rPr>
        <w:t xml:space="preserve"> по сделкам с финансовыми инструментами; </w:t>
      </w:r>
    </w:p>
    <w:p>
      <w:pPr>
        <w:spacing w:after="0"/>
        <w:ind w:left="0"/>
        <w:jc w:val="both"/>
      </w:pPr>
      <w:r>
        <w:rPr>
          <w:rFonts w:ascii="Times New Roman"/>
          <w:b w:val="false"/>
          <w:i w:val="false"/>
          <w:color w:val="000000"/>
          <w:sz w:val="28"/>
        </w:rPr>
        <w:t xml:space="preserve">
      4) обработка и распространение информации; </w:t>
      </w:r>
    </w:p>
    <w:p>
      <w:pPr>
        <w:spacing w:after="0"/>
        <w:ind w:left="0"/>
        <w:jc w:val="both"/>
      </w:pPr>
      <w:r>
        <w:rPr>
          <w:rFonts w:ascii="Times New Roman"/>
          <w:b w:val="false"/>
          <w:i w:val="false"/>
          <w:color w:val="000000"/>
          <w:sz w:val="28"/>
        </w:rPr>
        <w:t>
      5) программно-техническое обеспечение деятельности центрального контрагента;</w:t>
      </w:r>
    </w:p>
    <w:p>
      <w:pPr>
        <w:spacing w:after="0"/>
        <w:ind w:left="0"/>
        <w:jc w:val="both"/>
      </w:pPr>
      <w:r>
        <w:rPr>
          <w:rFonts w:ascii="Times New Roman"/>
          <w:b w:val="false"/>
          <w:i w:val="false"/>
          <w:color w:val="000000"/>
          <w:sz w:val="28"/>
        </w:rPr>
        <w:t>
      6) мониторинг финансового состояния клиринговых участников торгов, а также их соответствия внутренним документам центрального контрагента;</w:t>
      </w:r>
    </w:p>
    <w:p>
      <w:pPr>
        <w:spacing w:after="0"/>
        <w:ind w:left="0"/>
        <w:jc w:val="both"/>
      </w:pPr>
      <w:r>
        <w:rPr>
          <w:rFonts w:ascii="Times New Roman"/>
          <w:b w:val="false"/>
          <w:i w:val="false"/>
          <w:color w:val="000000"/>
          <w:sz w:val="28"/>
        </w:rPr>
        <w:t xml:space="preserve">
      7) внутренний аудит и контроль; </w:t>
      </w:r>
    </w:p>
    <w:p>
      <w:pPr>
        <w:spacing w:after="0"/>
        <w:ind w:left="0"/>
        <w:jc w:val="both"/>
      </w:pPr>
      <w:r>
        <w:rPr>
          <w:rFonts w:ascii="Times New Roman"/>
          <w:b w:val="false"/>
          <w:i w:val="false"/>
          <w:color w:val="000000"/>
          <w:sz w:val="28"/>
        </w:rPr>
        <w:t xml:space="preserve">
      8) организация расчетов (платежей) по сделкам с финансовыми инструментами (в случае отсутствия у центрального контрагента договора с расчетной организацией, предусмотренного частью второй пункта 4 Правил). </w:t>
      </w:r>
    </w:p>
    <w:bookmarkStart w:name="z13" w:id="10"/>
    <w:p>
      <w:pPr>
        <w:spacing w:after="0"/>
        <w:ind w:left="0"/>
        <w:jc w:val="left"/>
      </w:pPr>
      <w:r>
        <w:rPr>
          <w:rFonts w:ascii="Times New Roman"/>
          <w:b/>
          <w:i w:val="false"/>
          <w:color w:val="000000"/>
        </w:rPr>
        <w:t xml:space="preserve"> 2. Условия осуществления деятельности центральным контрагентом</w:t>
      </w:r>
    </w:p>
    <w:bookmarkEnd w:id="10"/>
    <w:bookmarkStart w:name="z14" w:id="11"/>
    <w:p>
      <w:pPr>
        <w:spacing w:after="0"/>
        <w:ind w:left="0"/>
        <w:jc w:val="both"/>
      </w:pPr>
      <w:r>
        <w:rPr>
          <w:rFonts w:ascii="Times New Roman"/>
          <w:b w:val="false"/>
          <w:i w:val="false"/>
          <w:color w:val="000000"/>
          <w:sz w:val="28"/>
        </w:rPr>
        <w:t xml:space="preserve">
      4. Центральный контрагент производит сбор, обработку и хранение информации по сделкам, по которым центральный контрагент осуществляет обслуживание, ее сверку, корректировку при наличии расхождений, изменение (реквизитов) сторон сделки или совершение иных действий при урегулировании дефолта по сделке на условиях и в порядке, определенных Правилами и </w:t>
      </w:r>
      <w:r>
        <w:rPr>
          <w:rFonts w:ascii="Times New Roman"/>
          <w:b w:val="false"/>
          <w:i w:val="false"/>
          <w:color w:val="000000"/>
          <w:sz w:val="28"/>
        </w:rPr>
        <w:t>внутренними документами</w:t>
      </w:r>
      <w:r>
        <w:rPr>
          <w:rFonts w:ascii="Times New Roman"/>
          <w:b w:val="false"/>
          <w:i w:val="false"/>
          <w:color w:val="000000"/>
          <w:sz w:val="28"/>
        </w:rPr>
        <w:t xml:space="preserve"> центрального контрагента.</w:t>
      </w:r>
    </w:p>
    <w:bookmarkEnd w:id="11"/>
    <w:p>
      <w:pPr>
        <w:spacing w:after="0"/>
        <w:ind w:left="0"/>
        <w:jc w:val="both"/>
      </w:pPr>
      <w:r>
        <w:rPr>
          <w:rFonts w:ascii="Times New Roman"/>
          <w:b w:val="false"/>
          <w:i w:val="false"/>
          <w:color w:val="000000"/>
          <w:sz w:val="28"/>
        </w:rPr>
        <w:t>
      Для осуществления деятельности центрального контрагента по сделкам с финансовыми инструментами центральный контрагент заключает договор с расчетной организацией, организатором торгов, клиринговой организацией, условия которого предусматривают порядок обмена информацией между сторонами договора и совершения согласованных процедур в процессе реализации сторонами договора своих прав и обязанностей.</w:t>
      </w:r>
    </w:p>
    <w:bookmarkStart w:name="z15" w:id="12"/>
    <w:p>
      <w:pPr>
        <w:spacing w:after="0"/>
        <w:ind w:left="0"/>
        <w:jc w:val="both"/>
      </w:pPr>
      <w:r>
        <w:rPr>
          <w:rFonts w:ascii="Times New Roman"/>
          <w:b w:val="false"/>
          <w:i w:val="false"/>
          <w:color w:val="000000"/>
          <w:sz w:val="28"/>
        </w:rPr>
        <w:t>
      5. Центральный контрагент осуществляет процедуры по урегулированию дефолта клирингового участника торгов путем подачи заявок и заключения сделок с финансовыми инструментами в торговой системе фондовой биржи от имени данного клирингового участника торгов (с целью принудительной ликвидации его открытых позиций) и (или) совершения иных действий в порядке и на условиях, определенных внутренними документами центрального контрагента.</w:t>
      </w:r>
    </w:p>
    <w:bookmarkEnd w:id="12"/>
    <w:bookmarkStart w:name="z16" w:id="13"/>
    <w:p>
      <w:pPr>
        <w:spacing w:after="0"/>
        <w:ind w:left="0"/>
        <w:jc w:val="both"/>
      </w:pPr>
      <w:r>
        <w:rPr>
          <w:rFonts w:ascii="Times New Roman"/>
          <w:b w:val="false"/>
          <w:i w:val="false"/>
          <w:color w:val="000000"/>
          <w:sz w:val="28"/>
        </w:rPr>
        <w:t>
      6. Центральный контрагент осуществляет хранение информации и документов, связанных с деятельностью центрального контрагента, и ежедневное резервное копирование такой информации и документов.</w:t>
      </w:r>
    </w:p>
    <w:bookmarkEnd w:id="13"/>
    <w:p>
      <w:pPr>
        <w:spacing w:after="0"/>
        <w:ind w:left="0"/>
        <w:jc w:val="both"/>
      </w:pPr>
      <w:r>
        <w:rPr>
          <w:rFonts w:ascii="Times New Roman"/>
          <w:b w:val="false"/>
          <w:i w:val="false"/>
          <w:color w:val="000000"/>
          <w:sz w:val="28"/>
        </w:rPr>
        <w:t>
      Резервные копии подлежат защите от несанкционированного доступа к информации и хранятся в резервном техническом центре центрального контрагента до их замены обновленными резервными копиями.</w:t>
      </w:r>
    </w:p>
    <w:bookmarkStart w:name="z17" w:id="14"/>
    <w:p>
      <w:pPr>
        <w:spacing w:after="0"/>
        <w:ind w:left="0"/>
        <w:jc w:val="both"/>
      </w:pPr>
      <w:r>
        <w:rPr>
          <w:rFonts w:ascii="Times New Roman"/>
          <w:b w:val="false"/>
          <w:i w:val="false"/>
          <w:color w:val="000000"/>
          <w:sz w:val="28"/>
        </w:rPr>
        <w:t>
      7. Центральный контрагент обеспечивает постоянную готовность резервного технического центра к немедленной активизации. Резервный технический центр соответствует следующим требованиям:</w:t>
      </w:r>
    </w:p>
    <w:bookmarkEnd w:id="14"/>
    <w:p>
      <w:pPr>
        <w:spacing w:after="0"/>
        <w:ind w:left="0"/>
        <w:jc w:val="both"/>
      </w:pPr>
      <w:r>
        <w:rPr>
          <w:rFonts w:ascii="Times New Roman"/>
          <w:b w:val="false"/>
          <w:i w:val="false"/>
          <w:color w:val="000000"/>
          <w:sz w:val="28"/>
        </w:rPr>
        <w:t xml:space="preserve">
      1) содержит резервные копии информации, связанной с деятельностью центрального контрагента, идентичные основной информации; </w:t>
      </w:r>
    </w:p>
    <w:p>
      <w:pPr>
        <w:spacing w:after="0"/>
        <w:ind w:left="0"/>
        <w:jc w:val="both"/>
      </w:pPr>
      <w:r>
        <w:rPr>
          <w:rFonts w:ascii="Times New Roman"/>
          <w:b w:val="false"/>
          <w:i w:val="false"/>
          <w:color w:val="000000"/>
          <w:sz w:val="28"/>
        </w:rPr>
        <w:t xml:space="preserve">
      2) содержит копию программно-технического обеспечения центрального контрагента, используемого в процессе осуществления деятельности центрального контрагента по сделкам с финансовыми инструментами; </w:t>
      </w:r>
    </w:p>
    <w:p>
      <w:pPr>
        <w:spacing w:after="0"/>
        <w:ind w:left="0"/>
        <w:jc w:val="both"/>
      </w:pPr>
      <w:r>
        <w:rPr>
          <w:rFonts w:ascii="Times New Roman"/>
          <w:b w:val="false"/>
          <w:i w:val="false"/>
          <w:color w:val="000000"/>
          <w:sz w:val="28"/>
        </w:rPr>
        <w:t xml:space="preserve">
      3) располагается не менее чем в двадцати пяти километрах от места нахождения центрального контрагента; </w:t>
      </w:r>
    </w:p>
    <w:p>
      <w:pPr>
        <w:spacing w:after="0"/>
        <w:ind w:left="0"/>
        <w:jc w:val="both"/>
      </w:pPr>
      <w:r>
        <w:rPr>
          <w:rFonts w:ascii="Times New Roman"/>
          <w:b w:val="false"/>
          <w:i w:val="false"/>
          <w:color w:val="000000"/>
          <w:sz w:val="28"/>
        </w:rPr>
        <w:t xml:space="preserve">
      4) обеспечивается коммуникациями, необходимыми для осуществления деятельности центрального контрагента. </w:t>
      </w:r>
    </w:p>
    <w:bookmarkStart w:name="z18" w:id="15"/>
    <w:p>
      <w:pPr>
        <w:spacing w:after="0"/>
        <w:ind w:left="0"/>
        <w:jc w:val="both"/>
      </w:pPr>
      <w:r>
        <w:rPr>
          <w:rFonts w:ascii="Times New Roman"/>
          <w:b w:val="false"/>
          <w:i w:val="false"/>
          <w:color w:val="000000"/>
          <w:sz w:val="28"/>
        </w:rPr>
        <w:t>
      8. Допускается использование центральным контрагентом резервного центра клиринговой организации, центрального депозитария или фондовой биржи.</w:t>
      </w:r>
    </w:p>
    <w:bookmarkEnd w:id="15"/>
    <w:p>
      <w:pPr>
        <w:spacing w:after="0"/>
        <w:ind w:left="0"/>
        <w:jc w:val="both"/>
      </w:pPr>
      <w:r>
        <w:rPr>
          <w:rFonts w:ascii="Times New Roman"/>
          <w:b w:val="false"/>
          <w:i w:val="false"/>
          <w:color w:val="000000"/>
          <w:sz w:val="28"/>
        </w:rPr>
        <w:t>
      В случае если внутренними документами фондовой биржи будет предусмотрена возможность исполнения функций центрального контрагента иными организациями при заключении сделок в торговой системе фондовой биржи, то резервный центр используется клиринговой организации или центрального депозитария.</w:t>
      </w:r>
    </w:p>
    <w:bookmarkStart w:name="z19" w:id="16"/>
    <w:p>
      <w:pPr>
        <w:spacing w:after="0"/>
        <w:ind w:left="0"/>
        <w:jc w:val="both"/>
      </w:pPr>
      <w:r>
        <w:rPr>
          <w:rFonts w:ascii="Times New Roman"/>
          <w:b w:val="false"/>
          <w:i w:val="false"/>
          <w:color w:val="000000"/>
          <w:sz w:val="28"/>
        </w:rPr>
        <w:t>
      9. В целях осуществления клиринга между клиринговыми участниками торгов в результате заключения сделок с финансовыми инструментами, центральный контрагент обеспечивает достоверный учет параметров заключенных сделок в торговой системе организатора торгов.</w:t>
      </w:r>
    </w:p>
    <w:bookmarkEnd w:id="16"/>
    <w:bookmarkStart w:name="z20" w:id="17"/>
    <w:p>
      <w:pPr>
        <w:spacing w:after="0"/>
        <w:ind w:left="0"/>
        <w:jc w:val="both"/>
      </w:pPr>
      <w:r>
        <w:rPr>
          <w:rFonts w:ascii="Times New Roman"/>
          <w:b w:val="false"/>
          <w:i w:val="false"/>
          <w:color w:val="000000"/>
          <w:sz w:val="28"/>
        </w:rPr>
        <w:t>
      10. Расчетной организацией по сделкам с ценными бумагами является центральный депозитарий.</w:t>
      </w:r>
    </w:p>
    <w:bookmarkEnd w:id="17"/>
    <w:bookmarkStart w:name="z21" w:id="18"/>
    <w:p>
      <w:pPr>
        <w:spacing w:after="0"/>
        <w:ind w:left="0"/>
        <w:jc w:val="both"/>
      </w:pPr>
      <w:r>
        <w:rPr>
          <w:rFonts w:ascii="Times New Roman"/>
          <w:b w:val="false"/>
          <w:i w:val="false"/>
          <w:color w:val="000000"/>
          <w:sz w:val="28"/>
        </w:rPr>
        <w:t>
      11. Порядок и условия осуществления расчетов по заключенным на биржевых торгах сделкам с производными финансовыми инструментами и (или) валютой определяются внутренними документами фондовой биржи.</w:t>
      </w:r>
    </w:p>
    <w:bookmarkEnd w:id="18"/>
    <w:p>
      <w:pPr>
        <w:spacing w:after="0"/>
        <w:ind w:left="0"/>
        <w:jc w:val="both"/>
      </w:pPr>
      <w:r>
        <w:rPr>
          <w:rFonts w:ascii="Times New Roman"/>
          <w:b w:val="false"/>
          <w:i w:val="false"/>
          <w:color w:val="000000"/>
          <w:sz w:val="28"/>
        </w:rPr>
        <w:t>
      Центральный контрагент для организации расчетов (платежей) по сделкам с производными финансовыми инструментами и (или) валютой открывает счета для учета финансовых инструментов в соответствии с требованиями внутренних документов центрального контрагента.</w:t>
      </w:r>
    </w:p>
    <w:bookmarkStart w:name="z22" w:id="19"/>
    <w:p>
      <w:pPr>
        <w:spacing w:after="0"/>
        <w:ind w:left="0"/>
        <w:jc w:val="both"/>
      </w:pPr>
      <w:r>
        <w:rPr>
          <w:rFonts w:ascii="Times New Roman"/>
          <w:b w:val="false"/>
          <w:i w:val="false"/>
          <w:color w:val="000000"/>
          <w:sz w:val="28"/>
        </w:rPr>
        <w:t>
      12. Центральный контрагент осуществляет свою деятельность по уменьшению рисков участников за счет многосторонних взаимозачетов обязательств и требований, вытекающих из заключенных на фондовой бирже сделок с применением услуг клиринговой организации и центрального контрагента.</w:t>
      </w:r>
    </w:p>
    <w:bookmarkEnd w:id="19"/>
    <w:bookmarkStart w:name="z23" w:id="20"/>
    <w:p>
      <w:pPr>
        <w:spacing w:after="0"/>
        <w:ind w:left="0"/>
        <w:jc w:val="both"/>
      </w:pPr>
      <w:r>
        <w:rPr>
          <w:rFonts w:ascii="Times New Roman"/>
          <w:b w:val="false"/>
          <w:i w:val="false"/>
          <w:color w:val="000000"/>
          <w:sz w:val="28"/>
        </w:rPr>
        <w:t>
      13. Требование пункта 12 Правил выполняется за счет новации, подачи заявки в торговой системе фондовой биржи методом открытых торгов или наличия другого юридически обязывающего соглашения.</w:t>
      </w:r>
    </w:p>
    <w:bookmarkEnd w:id="20"/>
    <w:bookmarkStart w:name="z24" w:id="21"/>
    <w:p>
      <w:pPr>
        <w:spacing w:after="0"/>
        <w:ind w:left="0"/>
        <w:jc w:val="both"/>
      </w:pPr>
      <w:r>
        <w:rPr>
          <w:rFonts w:ascii="Times New Roman"/>
          <w:b w:val="false"/>
          <w:i w:val="false"/>
          <w:color w:val="000000"/>
          <w:sz w:val="28"/>
        </w:rPr>
        <w:t>
      14. Центральный контрагент формирует отчет по результатам деятельности центрального контрагента для клиринговых участников в порядке и сроки, определенные внутренними документами центрального контрагента.</w:t>
      </w:r>
    </w:p>
    <w:bookmarkEnd w:id="21"/>
    <w:bookmarkStart w:name="z25" w:id="22"/>
    <w:p>
      <w:pPr>
        <w:spacing w:after="0"/>
        <w:ind w:left="0"/>
        <w:jc w:val="both"/>
      </w:pPr>
      <w:r>
        <w:rPr>
          <w:rFonts w:ascii="Times New Roman"/>
          <w:b w:val="false"/>
          <w:i w:val="false"/>
          <w:color w:val="000000"/>
          <w:sz w:val="28"/>
        </w:rPr>
        <w:t>
      15. Расчетная организация на основании приказов, полученных от клиринговой организации или фондовой биржи (либо от подразделения, осуществляющего функции в рамках клиринговой деятельности по сделкам с финансовыми инструментами, и подразделения, основной функцией которого является организация торгов с финансовыми инструментами, если клиринговая организация и (или) фондовая биржа самостоятельно осуществляют расчеты) осуществляет расчеты (платежи) и уведомляет об этом центрального контрагента.</w:t>
      </w:r>
    </w:p>
    <w:bookmarkEnd w:id="22"/>
    <w:bookmarkStart w:name="z26" w:id="23"/>
    <w:p>
      <w:pPr>
        <w:spacing w:after="0"/>
        <w:ind w:left="0"/>
        <w:jc w:val="both"/>
      </w:pPr>
      <w:r>
        <w:rPr>
          <w:rFonts w:ascii="Times New Roman"/>
          <w:b w:val="false"/>
          <w:i w:val="false"/>
          <w:color w:val="000000"/>
          <w:sz w:val="28"/>
        </w:rPr>
        <w:t>
      16. В случае неисполнения или ненадлежащего исполнения клиринговым участником обязательств по сделкам с финансовыми инструментами центральный контрагент в целях обеспечения исполнения обязательств клиринговым участником заключает договоры от имени клирингового участника, определенного клиринговой организацией, без специального полномочия (доверенности), а также без согласия данного клирингового участника в порядке, установленном внутренними документами центрального контрагента.</w:t>
      </w:r>
    </w:p>
    <w:bookmarkEnd w:id="23"/>
    <w:bookmarkStart w:name="z27" w:id="24"/>
    <w:p>
      <w:pPr>
        <w:spacing w:after="0"/>
        <w:ind w:left="0"/>
        <w:jc w:val="both"/>
      </w:pPr>
      <w:r>
        <w:rPr>
          <w:rFonts w:ascii="Times New Roman"/>
          <w:b w:val="false"/>
          <w:i w:val="false"/>
          <w:color w:val="000000"/>
          <w:sz w:val="28"/>
        </w:rPr>
        <w:t xml:space="preserve">
      17. В случаях и порядке, предусмотренных внутренними документами центрального контрагента, убытки лица, осуществляющего функции центрального контрагента, возникшие в связи с осуществлением последним указанных функций, распределяются между клиринговыми участниками. </w:t>
      </w:r>
    </w:p>
    <w:bookmarkEnd w:id="24"/>
    <w:bookmarkStart w:name="z28" w:id="25"/>
    <w:p>
      <w:pPr>
        <w:spacing w:after="0"/>
        <w:ind w:left="0"/>
        <w:jc w:val="both"/>
      </w:pPr>
      <w:r>
        <w:rPr>
          <w:rFonts w:ascii="Times New Roman"/>
          <w:b w:val="false"/>
          <w:i w:val="false"/>
          <w:color w:val="000000"/>
          <w:sz w:val="28"/>
        </w:rPr>
        <w:t xml:space="preserve">
      18. Центральный контрагент, за исключением случаев, предусмотренных пунктом 17 Правил, не ограничивает действия клиринговых участников, если данные клиринговые участники исполнили обязательства перед центральным контрагентом, либо если его требования к клиринговым участникам удовлетворяются полностью за счет индивидуального и коллективного клирингового обеспечения. Внутренние документы центрального контрагента предусматривают случаи </w:t>
      </w:r>
      <w:r>
        <w:rPr>
          <w:rFonts w:ascii="Times New Roman"/>
          <w:b w:val="false"/>
          <w:i w:val="false"/>
          <w:color w:val="000000"/>
          <w:sz w:val="28"/>
        </w:rPr>
        <w:t>ограничения ответственности</w:t>
      </w:r>
      <w:r>
        <w:rPr>
          <w:rFonts w:ascii="Times New Roman"/>
          <w:b w:val="false"/>
          <w:i w:val="false"/>
          <w:color w:val="000000"/>
          <w:sz w:val="28"/>
        </w:rPr>
        <w:t xml:space="preserve"> центрального контрагента за неисполнение обязательств по поставке активов при исполнении всеми клиринговыми участниками обязательств перед центральным контрагентом.</w:t>
      </w:r>
    </w:p>
    <w:bookmarkEnd w:id="25"/>
    <w:bookmarkStart w:name="z29" w:id="26"/>
    <w:p>
      <w:pPr>
        <w:spacing w:after="0"/>
        <w:ind w:left="0"/>
        <w:jc w:val="both"/>
      </w:pPr>
      <w:r>
        <w:rPr>
          <w:rFonts w:ascii="Times New Roman"/>
          <w:b w:val="false"/>
          <w:i w:val="false"/>
          <w:color w:val="000000"/>
          <w:sz w:val="28"/>
        </w:rPr>
        <w:t>
      19. Если сумма требований клиринговых участников превышает максимальный размер ответственности центрального контрагента, эти требования удовлетворяются в порядке, предусмотренном внутренними документами центрального контрагента. Неудовлетворенные требования считаются погашенными, если иное не предусмотрено внутренними документами центрального контрагента.</w:t>
      </w:r>
    </w:p>
    <w:bookmarkEnd w:id="26"/>
    <w:bookmarkStart w:name="z30" w:id="27"/>
    <w:p>
      <w:pPr>
        <w:spacing w:after="0"/>
        <w:ind w:left="0"/>
        <w:jc w:val="left"/>
      </w:pPr>
      <w:r>
        <w:rPr>
          <w:rFonts w:ascii="Times New Roman"/>
          <w:b/>
          <w:i w:val="false"/>
          <w:color w:val="000000"/>
        </w:rPr>
        <w:t xml:space="preserve"> 3. Раскрытие информации о деятельности центрального контрагента</w:t>
      </w:r>
    </w:p>
    <w:bookmarkEnd w:id="27"/>
    <w:bookmarkStart w:name="z31" w:id="28"/>
    <w:p>
      <w:pPr>
        <w:spacing w:after="0"/>
        <w:ind w:left="0"/>
        <w:jc w:val="both"/>
      </w:pPr>
      <w:r>
        <w:rPr>
          <w:rFonts w:ascii="Times New Roman"/>
          <w:b w:val="false"/>
          <w:i w:val="false"/>
          <w:color w:val="000000"/>
          <w:sz w:val="28"/>
        </w:rPr>
        <w:t xml:space="preserve">
      20. Центральный контрагент обеспечивает раскрытие информации о своей деятельности и свободный доступ к ознакомлению с информацией, не составляющей </w:t>
      </w:r>
      <w:r>
        <w:rPr>
          <w:rFonts w:ascii="Times New Roman"/>
          <w:b w:val="false"/>
          <w:i w:val="false"/>
          <w:color w:val="000000"/>
          <w:sz w:val="28"/>
        </w:rPr>
        <w:t>коммерческую тайну</w:t>
      </w:r>
      <w:r>
        <w:rPr>
          <w:rFonts w:ascii="Times New Roman"/>
          <w:b w:val="false"/>
          <w:i w:val="false"/>
          <w:color w:val="000000"/>
          <w:sz w:val="28"/>
        </w:rPr>
        <w:t xml:space="preserve"> на рынке ценных бумаг, всем заинтересованным лицам путем публикации (размещения) на постоянной основе указанной информации в средствах массовой информации на казахском и русском языках.</w:t>
      </w:r>
    </w:p>
    <w:bookmarkEnd w:id="28"/>
    <w:bookmarkStart w:name="z32" w:id="29"/>
    <w:p>
      <w:pPr>
        <w:spacing w:after="0"/>
        <w:ind w:left="0"/>
        <w:jc w:val="both"/>
      </w:pPr>
      <w:r>
        <w:rPr>
          <w:rFonts w:ascii="Times New Roman"/>
          <w:b w:val="false"/>
          <w:i w:val="false"/>
          <w:color w:val="000000"/>
          <w:sz w:val="28"/>
        </w:rPr>
        <w:t>
      21. На интернет-ресурсе центрального контрагента обеспечивается раскрытие следующей информации:</w:t>
      </w:r>
    </w:p>
    <w:bookmarkEnd w:id="29"/>
    <w:p>
      <w:pPr>
        <w:spacing w:after="0"/>
        <w:ind w:left="0"/>
        <w:jc w:val="both"/>
      </w:pPr>
      <w:r>
        <w:rPr>
          <w:rFonts w:ascii="Times New Roman"/>
          <w:b w:val="false"/>
          <w:i w:val="false"/>
          <w:color w:val="000000"/>
          <w:sz w:val="28"/>
        </w:rPr>
        <w:t xml:space="preserve">
      1) общей информации о центральном контрагенте (состав органов центрального контрагента, фамилии, имена, отчества (при их наличии) руководящих работников центрального контрагента, место нахождения центрального контрагента, контактные телефоны); </w:t>
      </w:r>
    </w:p>
    <w:p>
      <w:pPr>
        <w:spacing w:after="0"/>
        <w:ind w:left="0"/>
        <w:jc w:val="both"/>
      </w:pPr>
      <w:r>
        <w:rPr>
          <w:rFonts w:ascii="Times New Roman"/>
          <w:b w:val="false"/>
          <w:i w:val="false"/>
          <w:color w:val="000000"/>
          <w:sz w:val="28"/>
        </w:rPr>
        <w:t xml:space="preserve">
      2) учредительных документов центрального контрагента; </w:t>
      </w:r>
    </w:p>
    <w:p>
      <w:pPr>
        <w:spacing w:after="0"/>
        <w:ind w:left="0"/>
        <w:jc w:val="both"/>
      </w:pPr>
      <w:r>
        <w:rPr>
          <w:rFonts w:ascii="Times New Roman"/>
          <w:b w:val="false"/>
          <w:i w:val="false"/>
          <w:color w:val="000000"/>
          <w:sz w:val="28"/>
        </w:rPr>
        <w:t xml:space="preserve">
      3) внутренних документов центрального контрагента; </w:t>
      </w:r>
    </w:p>
    <w:p>
      <w:pPr>
        <w:spacing w:after="0"/>
        <w:ind w:left="0"/>
        <w:jc w:val="both"/>
      </w:pPr>
      <w:r>
        <w:rPr>
          <w:rFonts w:ascii="Times New Roman"/>
          <w:b w:val="false"/>
          <w:i w:val="false"/>
          <w:color w:val="000000"/>
          <w:sz w:val="28"/>
        </w:rPr>
        <w:t xml:space="preserve">
      4) годовой и ежеквартальной финансовой отчетности центрального контрагента, включая финансовую отчетность, подтвержденную аудиторской организацией, и аудиторского отчета; </w:t>
      </w:r>
    </w:p>
    <w:p>
      <w:pPr>
        <w:spacing w:after="0"/>
        <w:ind w:left="0"/>
        <w:jc w:val="both"/>
      </w:pPr>
      <w:r>
        <w:rPr>
          <w:rFonts w:ascii="Times New Roman"/>
          <w:b w:val="false"/>
          <w:i w:val="false"/>
          <w:color w:val="000000"/>
          <w:sz w:val="28"/>
        </w:rPr>
        <w:t xml:space="preserve">
      5) наименований организаторов торгов, обслуживаемых центральным контрагентом, с указанием рынков, видов финансовых инструментов и сделок (методов торгов), принимаемых на обслуживание центральным контрагентом; </w:t>
      </w:r>
    </w:p>
    <w:p>
      <w:pPr>
        <w:spacing w:after="0"/>
        <w:ind w:left="0"/>
        <w:jc w:val="both"/>
      </w:pPr>
      <w:r>
        <w:rPr>
          <w:rFonts w:ascii="Times New Roman"/>
          <w:b w:val="false"/>
          <w:i w:val="false"/>
          <w:color w:val="000000"/>
          <w:sz w:val="28"/>
        </w:rPr>
        <w:t xml:space="preserve">
      6) наименований расчетных организаций; </w:t>
      </w:r>
    </w:p>
    <w:p>
      <w:pPr>
        <w:spacing w:after="0"/>
        <w:ind w:left="0"/>
        <w:jc w:val="both"/>
      </w:pPr>
      <w:r>
        <w:rPr>
          <w:rFonts w:ascii="Times New Roman"/>
          <w:b w:val="false"/>
          <w:i w:val="false"/>
          <w:color w:val="000000"/>
          <w:sz w:val="28"/>
        </w:rPr>
        <w:t xml:space="preserve">
      7) информации, подлежащей раскрытию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о рынке ценных бумаг, об акционерных обществах и внутренними документами центрального контрагента. </w:t>
      </w:r>
    </w:p>
    <w:bookmarkStart w:name="z33" w:id="30"/>
    <w:p>
      <w:pPr>
        <w:spacing w:after="0"/>
        <w:ind w:left="0"/>
        <w:jc w:val="left"/>
      </w:pPr>
      <w:r>
        <w:rPr>
          <w:rFonts w:ascii="Times New Roman"/>
          <w:b/>
          <w:i w:val="false"/>
          <w:color w:val="000000"/>
        </w:rPr>
        <w:t xml:space="preserve"> 4. Внутренние документы центрального контрагента</w:t>
      </w:r>
    </w:p>
    <w:bookmarkEnd w:id="30"/>
    <w:bookmarkStart w:name="z34" w:id="31"/>
    <w:p>
      <w:pPr>
        <w:spacing w:after="0"/>
        <w:ind w:left="0"/>
        <w:jc w:val="both"/>
      </w:pPr>
      <w:r>
        <w:rPr>
          <w:rFonts w:ascii="Times New Roman"/>
          <w:b w:val="false"/>
          <w:i w:val="false"/>
          <w:color w:val="000000"/>
          <w:sz w:val="28"/>
        </w:rPr>
        <w:t>
      22. Внутренние документы центрального контрагента определяют условия и порядок осуществления деятельности центрального контрагента по сделкам с финансовыми инструментами и включают положения, определяющие:</w:t>
      </w:r>
    </w:p>
    <w:bookmarkEnd w:id="31"/>
    <w:p>
      <w:pPr>
        <w:spacing w:after="0"/>
        <w:ind w:left="0"/>
        <w:jc w:val="both"/>
      </w:pPr>
      <w:r>
        <w:rPr>
          <w:rFonts w:ascii="Times New Roman"/>
          <w:b w:val="false"/>
          <w:i w:val="false"/>
          <w:color w:val="000000"/>
          <w:sz w:val="28"/>
        </w:rPr>
        <w:t xml:space="preserve">
      1) условия и порядок взаимодействия центрального контрагента с клиринговыми участниками, находящимися на обслуживании у данного центрального контрагента, в том числе права и обязанности сторон; </w:t>
      </w:r>
    </w:p>
    <w:p>
      <w:pPr>
        <w:spacing w:after="0"/>
        <w:ind w:left="0"/>
        <w:jc w:val="both"/>
      </w:pPr>
      <w:r>
        <w:rPr>
          <w:rFonts w:ascii="Times New Roman"/>
          <w:b w:val="false"/>
          <w:i w:val="false"/>
          <w:color w:val="000000"/>
          <w:sz w:val="28"/>
        </w:rPr>
        <w:t xml:space="preserve">
      2) ответственность центрального контрагента; </w:t>
      </w:r>
    </w:p>
    <w:p>
      <w:pPr>
        <w:spacing w:after="0"/>
        <w:ind w:left="0"/>
        <w:jc w:val="both"/>
      </w:pPr>
      <w:r>
        <w:rPr>
          <w:rFonts w:ascii="Times New Roman"/>
          <w:b w:val="false"/>
          <w:i w:val="false"/>
          <w:color w:val="000000"/>
          <w:sz w:val="28"/>
        </w:rPr>
        <w:t xml:space="preserve">
      3) порядок распоряжения информацией, полученной центральным контрагентом от клиринговых участников, находящихся на обслуживании у центрального контрагента, и уполномоченного органа по регулированию, контролю и надзору финансового рынка и финансовых организаций; </w:t>
      </w:r>
    </w:p>
    <w:p>
      <w:pPr>
        <w:spacing w:after="0"/>
        <w:ind w:left="0"/>
        <w:jc w:val="both"/>
      </w:pPr>
      <w:r>
        <w:rPr>
          <w:rFonts w:ascii="Times New Roman"/>
          <w:b w:val="false"/>
          <w:i w:val="false"/>
          <w:color w:val="000000"/>
          <w:sz w:val="28"/>
        </w:rPr>
        <w:t xml:space="preserve">
      4) порядок мониторинга финансового состояния клиринговых участников торгов, а также соответствия клиринговых участников, находящихся на обслуживании у центрального контрагента, требованиям внутренним документам центрального контрагента; </w:t>
      </w:r>
    </w:p>
    <w:p>
      <w:pPr>
        <w:spacing w:after="0"/>
        <w:ind w:left="0"/>
        <w:jc w:val="both"/>
      </w:pPr>
      <w:r>
        <w:rPr>
          <w:rFonts w:ascii="Times New Roman"/>
          <w:b w:val="false"/>
          <w:i w:val="false"/>
          <w:color w:val="000000"/>
          <w:sz w:val="28"/>
        </w:rPr>
        <w:t xml:space="preserve">
      5) порядок и условия формирования гарантийного фонда, а также порядок и условия уплаты взносов и сборов центральному контрагенту; </w:t>
      </w:r>
    </w:p>
    <w:p>
      <w:pPr>
        <w:spacing w:after="0"/>
        <w:ind w:left="0"/>
        <w:jc w:val="both"/>
      </w:pPr>
      <w:r>
        <w:rPr>
          <w:rFonts w:ascii="Times New Roman"/>
          <w:b w:val="false"/>
          <w:i w:val="false"/>
          <w:color w:val="000000"/>
          <w:sz w:val="28"/>
        </w:rPr>
        <w:t xml:space="preserve">
      6) порядок и условия формирования центральным контрагентом резервного фонда; </w:t>
      </w:r>
    </w:p>
    <w:p>
      <w:pPr>
        <w:spacing w:after="0"/>
        <w:ind w:left="0"/>
        <w:jc w:val="both"/>
      </w:pPr>
      <w:r>
        <w:rPr>
          <w:rFonts w:ascii="Times New Roman"/>
          <w:b w:val="false"/>
          <w:i w:val="false"/>
          <w:color w:val="000000"/>
          <w:sz w:val="28"/>
        </w:rPr>
        <w:t xml:space="preserve">
      7) порядок заключения центральным контрагентом договоров от имени клирингового участника, находящихся на обслуживании у центрального контрагента, без его согласия в случаях, предусмотренных </w:t>
      </w:r>
      <w:r>
        <w:rPr>
          <w:rFonts w:ascii="Times New Roman"/>
          <w:b w:val="false"/>
          <w:i w:val="false"/>
          <w:color w:val="000000"/>
          <w:sz w:val="28"/>
        </w:rPr>
        <w:t>пунктом 16</w:t>
      </w:r>
      <w:r>
        <w:rPr>
          <w:rFonts w:ascii="Times New Roman"/>
          <w:b w:val="false"/>
          <w:i w:val="false"/>
          <w:color w:val="000000"/>
          <w:sz w:val="28"/>
        </w:rPr>
        <w:t xml:space="preserve"> Правил; </w:t>
      </w:r>
    </w:p>
    <w:p>
      <w:pPr>
        <w:spacing w:after="0"/>
        <w:ind w:left="0"/>
        <w:jc w:val="both"/>
      </w:pPr>
      <w:r>
        <w:rPr>
          <w:rFonts w:ascii="Times New Roman"/>
          <w:b w:val="false"/>
          <w:i w:val="false"/>
          <w:color w:val="000000"/>
          <w:sz w:val="28"/>
        </w:rPr>
        <w:t xml:space="preserve">
      8) порядок, условия и способы исполнения обязательств в процессе деятельности центрального контрагента; </w:t>
      </w:r>
    </w:p>
    <w:p>
      <w:pPr>
        <w:spacing w:after="0"/>
        <w:ind w:left="0"/>
        <w:jc w:val="both"/>
      </w:pPr>
      <w:r>
        <w:rPr>
          <w:rFonts w:ascii="Times New Roman"/>
          <w:b w:val="false"/>
          <w:i w:val="false"/>
          <w:color w:val="000000"/>
          <w:sz w:val="28"/>
        </w:rPr>
        <w:t xml:space="preserve">
      9) порядок предоставления центральным контрагентом отчетов по результатам деятельности центрального контрагента клиринговой организации, организатору торгов, расчетной организации и клиринговым участникам, находящимся на обслуживании у данного центрального контрагента; </w:t>
      </w:r>
    </w:p>
    <w:p>
      <w:pPr>
        <w:spacing w:after="0"/>
        <w:ind w:left="0"/>
        <w:jc w:val="both"/>
      </w:pPr>
      <w:r>
        <w:rPr>
          <w:rFonts w:ascii="Times New Roman"/>
          <w:b w:val="false"/>
          <w:i w:val="false"/>
          <w:color w:val="000000"/>
          <w:sz w:val="28"/>
        </w:rPr>
        <w:t xml:space="preserve">
      10) порядок подготовки и передачи информации в процессе деятельности центрального контрагента по сделкам с финансовыми инструментами расчетной организации, организатору торгов; </w:t>
      </w:r>
    </w:p>
    <w:p>
      <w:pPr>
        <w:spacing w:after="0"/>
        <w:ind w:left="0"/>
        <w:jc w:val="both"/>
      </w:pPr>
      <w:r>
        <w:rPr>
          <w:rFonts w:ascii="Times New Roman"/>
          <w:b w:val="false"/>
          <w:i w:val="false"/>
          <w:color w:val="000000"/>
          <w:sz w:val="28"/>
        </w:rPr>
        <w:t xml:space="preserve">
      11) типовые формы договоров об осуществлении обслуживания, определяющего отношения между центральным контрагентом и клиринговыми участниками торгов, находящимися на клиринговом обслуживании у данного центрального контрагента; </w:t>
      </w:r>
    </w:p>
    <w:p>
      <w:pPr>
        <w:spacing w:after="0"/>
        <w:ind w:left="0"/>
        <w:jc w:val="both"/>
      </w:pPr>
      <w:r>
        <w:rPr>
          <w:rFonts w:ascii="Times New Roman"/>
          <w:b w:val="false"/>
          <w:i w:val="false"/>
          <w:color w:val="000000"/>
          <w:sz w:val="28"/>
        </w:rPr>
        <w:t xml:space="preserve">
      12) требования к содержанию договора, заключаемого центральным контрагентом с расчетной организацией, организатором торгов; </w:t>
      </w:r>
    </w:p>
    <w:p>
      <w:pPr>
        <w:spacing w:after="0"/>
        <w:ind w:left="0"/>
        <w:jc w:val="both"/>
      </w:pPr>
      <w:r>
        <w:rPr>
          <w:rFonts w:ascii="Times New Roman"/>
          <w:b w:val="false"/>
          <w:i w:val="false"/>
          <w:color w:val="000000"/>
          <w:sz w:val="28"/>
        </w:rPr>
        <w:t xml:space="preserve">
      13) условия и порядок управления рисками при осуществлении деятельности центрального контрагента в целях гарантирования исполнения обязательств, вытекающих из заключенных сделок с финансовыми инструментами.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