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921d" w14:textId="1b8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105. Зарегистрирован в Министерстве юстиции Республики Казахстан 27 февраля 2016 года № 13296.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392/НҚ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"Әділет",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расчету ставки прибыли</w:t>
      </w:r>
      <w:r>
        <w:br/>
      </w:r>
      <w:r>
        <w:rPr>
          <w:rFonts w:ascii="Times New Roman"/>
          <w:b/>
          <w:i w:val="false"/>
          <w:color w:val="000000"/>
        </w:rPr>
        <w:t>на регулируемую базу задействованных активов</w:t>
      </w:r>
      <w:r>
        <w:br/>
      </w:r>
      <w:r>
        <w:rPr>
          <w:rFonts w:ascii="Times New Roman"/>
          <w:b/>
          <w:i w:val="false"/>
          <w:color w:val="000000"/>
        </w:rPr>
        <w:t>субъектов естественных монополий, в области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и универсальных услуг почтовой связи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положения\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расчету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392/НҚ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детализирует расчет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разработана в целях обоснованного расчета и возможности получения прибыли, обеспечивающей эффективное функционирование субъектов естественных монополий в области телекоммуникаций и универсальных услуг почтовой связи (далее – субъект).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понятия, применяемые в настоящей Инструкции: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леверидж – величина, характеризующая соотношение заемного и собственного капитала субъекта в общей структуре финансирования, то есть доля фактически заимствованных средств в структуре всего капитала (сумма собственного и заемного капитала) с учетом произведенной последней переоценки основных средств. Уровень левериджа является величиной не менее нуля. При отрицательном значении собственного капитала субъекта, уровень левериджа принимается за величину, равную единице;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регулируемая база задействованных активов – стоимость активов, находящихся в собственности или на иных законных основаниях, отражаемых в бухгалтерском балансе оператора в области телекоммуникаций и универсальных услуг почтовой связи и используемых при производстве и (или) предоставлении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прибыли на регулируемую базу задействованных активов – норма операционной прибыли, соответствующая стоимости капитала оператора в области телекоммуникаций и универсальных услуг почтовой связи.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ставки прибыли на регулируемую базу задействованных активов, в области телекоммуникаций и универсальных услуг почтовой связи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08.04.2021 </w:t>
      </w:r>
      <w:r>
        <w:rPr>
          <w:rFonts w:ascii="Times New Roman"/>
          <w:b w:val="false"/>
          <w:i w:val="false"/>
          <w:color w:val="ff0000"/>
          <w:sz w:val="28"/>
        </w:rPr>
        <w:t>№ 119/НҚ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прибыли на регулируемую базу задействованных активов субъекта определяется с помощью метода средневзвешенной стоимости капитала, который определяет норму дохода, которую следует выплатить за использование заемного капитала.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смысл расчета средневзвешенной стоимости капитала состоит в расчете минимального уровня доходности (прибыльности, рентабельности) инвестиционного проекта. Ставка прибыли на регулируемую базу задействованных активов это ставка процента, по которой инвестор имеет возможность привлечь финансирование.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Ставка вознаграждения на заемные средства определяется по формуле: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= rf + ДП,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ставка вознаграждения на заемные средства;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 – безрисковая ставка, определяемая исходя из базовой ставки Национального банка, установленной в соответствии с законодательством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(долговая премия) – долговая премия за риск по Субъекту, определяемая на основе премии на долговые обязательства, выпущенные Субъектом и находящиеся в обращении, относительно государственных ценных бумаг того же срока обращения, если выпуск долговых обязательств имел место. При этом, она определяется с учетом долговых премий за риск Субъектов, занимающихся видом деятельности в области телекоммуникаций и универсальных услуг почтовой связи и имеющих такой же кредитный рейтинг на территории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цифрового развития, инноваций и аэрокосмической промышленности РК от 21.02.2023 </w:t>
      </w:r>
      <w:r>
        <w:rPr>
          <w:rFonts w:ascii="Times New Roman"/>
          <w:b w:val="false"/>
          <w:i w:val="false"/>
          <w:color w:val="000000"/>
          <w:sz w:val="28"/>
        </w:rPr>
        <w:t>№ 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