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035a" w14:textId="69703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коэффициента зонирования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22 января 2016 года № 55. Зарегистрирован в Министерстве юстиции Республики Казахстан 26 февраля 2016 года № 13285. Утратил силу приказом Министра информации и коммуникаций Республики Казахстан от 12 ноября 2018 года № 475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информации и коммуникаций РК от 12.11.2018 </w:t>
      </w:r>
      <w:r>
        <w:rPr>
          <w:rFonts w:ascii="Times New Roman"/>
          <w:b w:val="false"/>
          <w:i w:val="false"/>
          <w:color w:val="000000"/>
          <w:sz w:val="28"/>
        </w:rPr>
        <w:t>№ 475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406 Кодекса Республики Казахстан от 10 декабря 2008 года "О налогах и других обязательных платежах в бюджет"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коэффициента зонирования.</w:t>
      </w:r>
    </w:p>
    <w:bookmarkEnd w:id="1"/>
    <w:bookmarkStart w:name="z3" w:id="2"/>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(Казангап Т.Б.)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но не ранее 1 марта 2016 года.</w:t>
      </w:r>
    </w:p>
    <w:bookmarkEnd w:id="4"/>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 развитию</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22 января 2016 года № 55</w:t>
            </w:r>
          </w:p>
        </w:tc>
      </w:tr>
    </w:tbl>
    <w:bookmarkStart w:name="z7" w:id="5"/>
    <w:p>
      <w:pPr>
        <w:spacing w:after="0"/>
        <w:ind w:left="0"/>
        <w:jc w:val="left"/>
      </w:pPr>
      <w:r>
        <w:rPr>
          <w:rFonts w:ascii="Times New Roman"/>
          <w:b/>
          <w:i w:val="false"/>
          <w:color w:val="000000"/>
        </w:rPr>
        <w:t xml:space="preserve"> Методика расчета коэффициента зонирования</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Настоящая Методика расчета коэффициента зонирования (далее - Методика) разработана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p>
    <w:bookmarkEnd w:id="6"/>
    <w:bookmarkStart w:name="z9" w:id="7"/>
    <w:p>
      <w:pPr>
        <w:spacing w:after="0"/>
        <w:ind w:left="0"/>
        <w:jc w:val="both"/>
      </w:pPr>
      <w:r>
        <w:rPr>
          <w:rFonts w:ascii="Times New Roman"/>
          <w:b w:val="false"/>
          <w:i w:val="false"/>
          <w:color w:val="000000"/>
          <w:sz w:val="28"/>
        </w:rPr>
        <w:t xml:space="preserve">
      2. Настоящая Методика регламентирует расчет коэффициента зонирования, применяемого при расчете стоимости объектов недвижимости физических лиц, не используемых в предпринимательской деятельности для целей налогообложения, согласно </w:t>
      </w:r>
      <w:r>
        <w:rPr>
          <w:rFonts w:ascii="Times New Roman"/>
          <w:b w:val="false"/>
          <w:i w:val="false"/>
          <w:color w:val="000000"/>
          <w:sz w:val="28"/>
        </w:rPr>
        <w:t>статье 406</w:t>
      </w:r>
      <w:r>
        <w:rPr>
          <w:rFonts w:ascii="Times New Roman"/>
          <w:b w:val="false"/>
          <w:i w:val="false"/>
          <w:color w:val="000000"/>
          <w:sz w:val="28"/>
        </w:rPr>
        <w:t xml:space="preserve"> Налогового Кодекса.</w:t>
      </w:r>
    </w:p>
    <w:bookmarkEnd w:id="7"/>
    <w:bookmarkStart w:name="z10" w:id="8"/>
    <w:p>
      <w:pPr>
        <w:spacing w:after="0"/>
        <w:ind w:left="0"/>
        <w:jc w:val="both"/>
      </w:pPr>
      <w:r>
        <w:rPr>
          <w:rFonts w:ascii="Times New Roman"/>
          <w:b w:val="false"/>
          <w:i w:val="false"/>
          <w:color w:val="000000"/>
          <w:sz w:val="28"/>
        </w:rPr>
        <w:t>
      3. В настоящей Методике используются следующие термины и определения:</w:t>
      </w:r>
    </w:p>
    <w:bookmarkEnd w:id="8"/>
    <w:bookmarkStart w:name="z21" w:id="9"/>
    <w:p>
      <w:pPr>
        <w:spacing w:after="0"/>
        <w:ind w:left="0"/>
        <w:jc w:val="both"/>
      </w:pPr>
      <w:r>
        <w:rPr>
          <w:rFonts w:ascii="Times New Roman"/>
          <w:b w:val="false"/>
          <w:i w:val="false"/>
          <w:color w:val="000000"/>
          <w:sz w:val="28"/>
        </w:rPr>
        <w:t>
      1) зона, имеющая особый правовой статус - специальная экономическая зона, особо охраняемая природная территория;</w:t>
      </w:r>
    </w:p>
    <w:bookmarkEnd w:id="9"/>
    <w:bookmarkStart w:name="z22" w:id="10"/>
    <w:p>
      <w:pPr>
        <w:spacing w:after="0"/>
        <w:ind w:left="0"/>
        <w:jc w:val="both"/>
      </w:pPr>
      <w:r>
        <w:rPr>
          <w:rFonts w:ascii="Times New Roman"/>
          <w:b w:val="false"/>
          <w:i w:val="false"/>
          <w:color w:val="000000"/>
          <w:sz w:val="28"/>
        </w:rPr>
        <w:t xml:space="preserve">
      2) стоимость объектов налогообложения физических лиц - стоимость, рассчитываемая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406 Налогового Кодекса;</w:t>
      </w:r>
    </w:p>
    <w:bookmarkEnd w:id="10"/>
    <w:bookmarkStart w:name="z23" w:id="11"/>
    <w:p>
      <w:pPr>
        <w:spacing w:after="0"/>
        <w:ind w:left="0"/>
        <w:jc w:val="both"/>
      </w:pPr>
      <w:r>
        <w:rPr>
          <w:rFonts w:ascii="Times New Roman"/>
          <w:b w:val="false"/>
          <w:i w:val="false"/>
          <w:color w:val="000000"/>
          <w:sz w:val="28"/>
        </w:rPr>
        <w:t>
      3) объект обслуживания общегородского, районного значения - общеобразовательные школы, детские дошкольные учреждения, учреждения здравоохранения, культуры, искусства, спорта, предприятия торговли, общественного питания и бытового обслуживания местного значения.</w:t>
      </w:r>
    </w:p>
    <w:bookmarkEnd w:id="11"/>
    <w:bookmarkStart w:name="z11" w:id="12"/>
    <w:p>
      <w:pPr>
        <w:spacing w:after="0"/>
        <w:ind w:left="0"/>
        <w:jc w:val="both"/>
      </w:pPr>
      <w:r>
        <w:rPr>
          <w:rFonts w:ascii="Times New Roman"/>
          <w:b w:val="false"/>
          <w:i w:val="false"/>
          <w:color w:val="000000"/>
          <w:sz w:val="28"/>
        </w:rPr>
        <w:t>
      4. Расчет коэффициента зонирования предусматривает выполнение ряда последовательных взаимосвязанных действий:</w:t>
      </w:r>
    </w:p>
    <w:bookmarkEnd w:id="12"/>
    <w:p>
      <w:pPr>
        <w:spacing w:after="0"/>
        <w:ind w:left="0"/>
        <w:jc w:val="both"/>
      </w:pPr>
      <w:r>
        <w:rPr>
          <w:rFonts w:ascii="Times New Roman"/>
          <w:b w:val="false"/>
          <w:i w:val="false"/>
          <w:color w:val="000000"/>
          <w:sz w:val="28"/>
        </w:rPr>
        <w:t xml:space="preserve">
      1) коэффициент рассчитывается по оценочным зонам, определенным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Земельный кодекс Республики Казахстан от 20 июня 2003 года, в пределах которых все объекты должны иметь свой идентификационный (кадастровый) номер. Зоны должны иметь, четко установленные границы по названиям улиц, микрорайонов, кварталов с использованием кадастровых карт учетных кварталов города, населенного пункта.</w:t>
      </w:r>
    </w:p>
    <w:p>
      <w:pPr>
        <w:spacing w:after="0"/>
        <w:ind w:left="0"/>
        <w:jc w:val="both"/>
      </w:pPr>
      <w:r>
        <w:rPr>
          <w:rFonts w:ascii="Times New Roman"/>
          <w:b w:val="false"/>
          <w:i w:val="false"/>
          <w:color w:val="000000"/>
          <w:sz w:val="28"/>
        </w:rPr>
        <w:t>
      В случае, когда разделения зоны идет не по улицам, граница оценочной зоны определяется строго по нумерации домов, с указанием их идентификационных (кадастровых) номеров или кодов Государственной базы данных "Адресный регистр";</w:t>
      </w:r>
    </w:p>
    <w:p>
      <w:pPr>
        <w:spacing w:after="0"/>
        <w:ind w:left="0"/>
        <w:jc w:val="both"/>
      </w:pPr>
      <w:r>
        <w:rPr>
          <w:rFonts w:ascii="Times New Roman"/>
          <w:b w:val="false"/>
          <w:i w:val="false"/>
          <w:color w:val="000000"/>
          <w:sz w:val="28"/>
        </w:rPr>
        <w:t>
      2) установление состава факторов, влияющих на стоимость объектов обложения налогом на имущество физических лиц и количественных значений данных факторов;</w:t>
      </w:r>
    </w:p>
    <w:p>
      <w:pPr>
        <w:spacing w:after="0"/>
        <w:ind w:left="0"/>
        <w:jc w:val="both"/>
      </w:pPr>
      <w:r>
        <w:rPr>
          <w:rFonts w:ascii="Times New Roman"/>
          <w:b w:val="false"/>
          <w:i w:val="false"/>
          <w:color w:val="000000"/>
          <w:sz w:val="28"/>
        </w:rPr>
        <w:t>
      3) установление для каждого оценочного участка факторов влияния, наложение факторов на оценочный участок и уточнение границ последних;</w:t>
      </w:r>
    </w:p>
    <w:p>
      <w:pPr>
        <w:spacing w:after="0"/>
        <w:ind w:left="0"/>
        <w:jc w:val="both"/>
      </w:pPr>
      <w:r>
        <w:rPr>
          <w:rFonts w:ascii="Times New Roman"/>
          <w:b w:val="false"/>
          <w:i w:val="false"/>
          <w:color w:val="000000"/>
          <w:sz w:val="28"/>
        </w:rPr>
        <w:t>
      4) расчет коэффициента зонирования для целей определения стоимости объектов обложения налогом на имущество физических лиц для каждого оценочного участка.</w:t>
      </w:r>
    </w:p>
    <w:bookmarkStart w:name="z12" w:id="13"/>
    <w:p>
      <w:pPr>
        <w:spacing w:after="0"/>
        <w:ind w:left="0"/>
        <w:jc w:val="both"/>
      </w:pPr>
      <w:r>
        <w:rPr>
          <w:rFonts w:ascii="Times New Roman"/>
          <w:b w:val="false"/>
          <w:i w:val="false"/>
          <w:color w:val="000000"/>
          <w:sz w:val="28"/>
        </w:rPr>
        <w:t>
      5. При выполнении расчета коэффициента зонирования для определения стоимости объектов обложения налогом на имущество физических лиц следует использовать материалы технической документации архива уполномоченного органа, определяемым решением Правительства Республики Казахстан из числа центральных государственных органов, а также допускается использование:</w:t>
      </w:r>
    </w:p>
    <w:bookmarkEnd w:id="13"/>
    <w:p>
      <w:pPr>
        <w:spacing w:after="0"/>
        <w:ind w:left="0"/>
        <w:jc w:val="both"/>
      </w:pPr>
      <w:r>
        <w:rPr>
          <w:rFonts w:ascii="Times New Roman"/>
          <w:b w:val="false"/>
          <w:i w:val="false"/>
          <w:color w:val="000000"/>
          <w:sz w:val="28"/>
        </w:rPr>
        <w:t>
      1) государственных электронных баз данных;</w:t>
      </w:r>
    </w:p>
    <w:p>
      <w:pPr>
        <w:spacing w:after="0"/>
        <w:ind w:left="0"/>
        <w:jc w:val="both"/>
      </w:pPr>
      <w:r>
        <w:rPr>
          <w:rFonts w:ascii="Times New Roman"/>
          <w:b w:val="false"/>
          <w:i w:val="false"/>
          <w:color w:val="000000"/>
          <w:sz w:val="28"/>
        </w:rPr>
        <w:t>
      2) актов местных исполнительных органов городов, районов, поселков, сел (аулов) по вопросам землепользования, оценки и налогообложения.</w:t>
      </w:r>
    </w:p>
    <w:bookmarkStart w:name="z13" w:id="14"/>
    <w:p>
      <w:pPr>
        <w:spacing w:after="0"/>
        <w:ind w:left="0"/>
        <w:jc w:val="left"/>
      </w:pPr>
      <w:r>
        <w:rPr>
          <w:rFonts w:ascii="Times New Roman"/>
          <w:b/>
          <w:i w:val="false"/>
          <w:color w:val="000000"/>
        </w:rPr>
        <w:t xml:space="preserve"> 2. Наименование факторов и подфакторов относительной</w:t>
      </w:r>
      <w:r>
        <w:br/>
      </w:r>
      <w:r>
        <w:rPr>
          <w:rFonts w:ascii="Times New Roman"/>
          <w:b/>
          <w:i w:val="false"/>
          <w:color w:val="000000"/>
        </w:rPr>
        <w:t>ценности недвижимости</w:t>
      </w:r>
    </w:p>
    <w:bookmarkEnd w:id="14"/>
    <w:bookmarkStart w:name="z14" w:id="15"/>
    <w:p>
      <w:pPr>
        <w:spacing w:after="0"/>
        <w:ind w:left="0"/>
        <w:jc w:val="both"/>
      </w:pPr>
      <w:r>
        <w:rPr>
          <w:rFonts w:ascii="Times New Roman"/>
          <w:b w:val="false"/>
          <w:i w:val="false"/>
          <w:color w:val="000000"/>
          <w:sz w:val="28"/>
        </w:rPr>
        <w:t>
      6. К оценочным участкам применяются факторы относительной ценности территории. При этом учитывается влияние следующих факторов:</w:t>
      </w:r>
    </w:p>
    <w:bookmarkEnd w:id="15"/>
    <w:p>
      <w:pPr>
        <w:spacing w:after="0"/>
        <w:ind w:left="0"/>
        <w:jc w:val="both"/>
      </w:pPr>
      <w:r>
        <w:rPr>
          <w:rFonts w:ascii="Times New Roman"/>
          <w:b w:val="false"/>
          <w:i w:val="false"/>
          <w:color w:val="000000"/>
          <w:sz w:val="28"/>
        </w:rPr>
        <w:t>
      1) доступность населения к центру города, района, поселка, села (аула);</w:t>
      </w:r>
    </w:p>
    <w:p>
      <w:pPr>
        <w:spacing w:after="0"/>
        <w:ind w:left="0"/>
        <w:jc w:val="both"/>
      </w:pPr>
      <w:r>
        <w:rPr>
          <w:rFonts w:ascii="Times New Roman"/>
          <w:b w:val="false"/>
          <w:i w:val="false"/>
          <w:color w:val="000000"/>
          <w:sz w:val="28"/>
        </w:rPr>
        <w:t>
      2) обеспеченность централизованным инженерным оборудованием и благоустройством территории, транспортная доступность;</w:t>
      </w:r>
    </w:p>
    <w:p>
      <w:pPr>
        <w:spacing w:after="0"/>
        <w:ind w:left="0"/>
        <w:jc w:val="both"/>
      </w:pPr>
      <w:r>
        <w:rPr>
          <w:rFonts w:ascii="Times New Roman"/>
          <w:b w:val="false"/>
          <w:i w:val="false"/>
          <w:color w:val="000000"/>
          <w:sz w:val="28"/>
        </w:rPr>
        <w:t>
      3) наличие в границах оценочной зоны объектов обслуживания общегородского, районного значения;</w:t>
      </w:r>
    </w:p>
    <w:p>
      <w:pPr>
        <w:spacing w:after="0"/>
        <w:ind w:left="0"/>
        <w:jc w:val="both"/>
      </w:pPr>
      <w:r>
        <w:rPr>
          <w:rFonts w:ascii="Times New Roman"/>
          <w:b w:val="false"/>
          <w:i w:val="false"/>
          <w:color w:val="000000"/>
          <w:sz w:val="28"/>
        </w:rPr>
        <w:t>
      4) наличие зон, имеющих особый правовой статус;</w:t>
      </w:r>
    </w:p>
    <w:p>
      <w:pPr>
        <w:spacing w:after="0"/>
        <w:ind w:left="0"/>
        <w:jc w:val="both"/>
      </w:pPr>
      <w:r>
        <w:rPr>
          <w:rFonts w:ascii="Times New Roman"/>
          <w:b w:val="false"/>
          <w:i w:val="false"/>
          <w:color w:val="000000"/>
          <w:sz w:val="28"/>
        </w:rPr>
        <w:t>
      5) состояние окружающей среды, санитарные и микроклиматические условия;</w:t>
      </w:r>
    </w:p>
    <w:p>
      <w:pPr>
        <w:spacing w:after="0"/>
        <w:ind w:left="0"/>
        <w:jc w:val="both"/>
      </w:pPr>
      <w:r>
        <w:rPr>
          <w:rFonts w:ascii="Times New Roman"/>
          <w:b w:val="false"/>
          <w:i w:val="false"/>
          <w:color w:val="000000"/>
          <w:sz w:val="28"/>
        </w:rPr>
        <w:t>
      6) инженерно-геологические условия строительства и степень подверженности разрушительным природным и другим воздействиям.</w:t>
      </w:r>
    </w:p>
    <w:bookmarkStart w:name="z15" w:id="16"/>
    <w:p>
      <w:pPr>
        <w:spacing w:after="0"/>
        <w:ind w:left="0"/>
        <w:jc w:val="both"/>
      </w:pPr>
      <w:r>
        <w:rPr>
          <w:rFonts w:ascii="Times New Roman"/>
          <w:b w:val="false"/>
          <w:i w:val="false"/>
          <w:color w:val="000000"/>
          <w:sz w:val="28"/>
        </w:rPr>
        <w:t xml:space="preserve">
      7. В целях определения коэффициента зонирования, его влияния на ценность объектов недвижимости (территории населения) в них выделяются единичные подфакторы. Группы, факторы и подфакторы относительной ценности недвижимости и их значения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p>
    <w:bookmarkEnd w:id="16"/>
    <w:bookmarkStart w:name="z16" w:id="17"/>
    <w:p>
      <w:pPr>
        <w:spacing w:after="0"/>
        <w:ind w:left="0"/>
        <w:jc w:val="both"/>
      </w:pPr>
      <w:r>
        <w:rPr>
          <w:rFonts w:ascii="Times New Roman"/>
          <w:b w:val="false"/>
          <w:i w:val="false"/>
          <w:color w:val="000000"/>
          <w:sz w:val="28"/>
        </w:rPr>
        <w:t>
      8. Влияние факторов первой группы определяется пешеходной доступностью к местам остановки городского и пригородного пассажирского транспорта и к центрам города и района, в том числе мест размещения услуг, создаваемых городским и районным общественным центром.</w:t>
      </w:r>
    </w:p>
    <w:bookmarkEnd w:id="17"/>
    <w:p>
      <w:pPr>
        <w:spacing w:after="0"/>
        <w:ind w:left="0"/>
        <w:jc w:val="both"/>
      </w:pPr>
      <w:r>
        <w:rPr>
          <w:rFonts w:ascii="Times New Roman"/>
          <w:b w:val="false"/>
          <w:i w:val="false"/>
          <w:color w:val="000000"/>
          <w:sz w:val="28"/>
        </w:rPr>
        <w:t>
      Значение коэффициентов факторов и подфакторов второй группы принимаются в соответствии с удельным весом затрат на инженерное оборудование (по видам) территории города, района, поселка, села (аула), а также с учетом обеспеченности общественным транспортом.</w:t>
      </w:r>
    </w:p>
    <w:p>
      <w:pPr>
        <w:spacing w:after="0"/>
        <w:ind w:left="0"/>
        <w:jc w:val="both"/>
      </w:pPr>
      <w:r>
        <w:rPr>
          <w:rFonts w:ascii="Times New Roman"/>
          <w:b w:val="false"/>
          <w:i w:val="false"/>
          <w:color w:val="000000"/>
          <w:sz w:val="28"/>
        </w:rPr>
        <w:t>
      Значение коэффициентов факторов и подфакторов третьей группы рассчитываются также, как и для второй группы, исходя из удельного веса затрат на отдельные виды учреждений культурно-бытового обслуживания повседневного пользования в составе общих затрат на жилую застройку.</w:t>
      </w:r>
    </w:p>
    <w:p>
      <w:pPr>
        <w:spacing w:after="0"/>
        <w:ind w:left="0"/>
        <w:jc w:val="both"/>
      </w:pPr>
      <w:r>
        <w:rPr>
          <w:rFonts w:ascii="Times New Roman"/>
          <w:b w:val="false"/>
          <w:i w:val="false"/>
          <w:color w:val="000000"/>
          <w:sz w:val="28"/>
        </w:rPr>
        <w:t>
      Коэффициенты четвертой группы применяются, при их установлении решением местного представительного органа, к оценочным зонам, находящимся:</w:t>
      </w:r>
    </w:p>
    <w:p>
      <w:pPr>
        <w:spacing w:after="0"/>
        <w:ind w:left="0"/>
        <w:jc w:val="both"/>
      </w:pPr>
      <w:r>
        <w:rPr>
          <w:rFonts w:ascii="Times New Roman"/>
          <w:b w:val="false"/>
          <w:i w:val="false"/>
          <w:color w:val="000000"/>
          <w:sz w:val="28"/>
        </w:rPr>
        <w:t>
      1) на заповедных территориях или территориях природоохранного, оздоровительного, рекреационного назначения;</w:t>
      </w:r>
    </w:p>
    <w:p>
      <w:pPr>
        <w:spacing w:after="0"/>
        <w:ind w:left="0"/>
        <w:jc w:val="both"/>
      </w:pPr>
      <w:r>
        <w:rPr>
          <w:rFonts w:ascii="Times New Roman"/>
          <w:b w:val="false"/>
          <w:i w:val="false"/>
          <w:color w:val="000000"/>
          <w:sz w:val="28"/>
        </w:rPr>
        <w:t>
      2) в пределах зон с ограниченными правами застройки и на территориях, представляющих архитектурную, историческую, эстетическую ценность;</w:t>
      </w:r>
    </w:p>
    <w:p>
      <w:pPr>
        <w:spacing w:after="0"/>
        <w:ind w:left="0"/>
        <w:jc w:val="both"/>
      </w:pPr>
      <w:r>
        <w:rPr>
          <w:rFonts w:ascii="Times New Roman"/>
          <w:b w:val="false"/>
          <w:i w:val="false"/>
          <w:color w:val="000000"/>
          <w:sz w:val="28"/>
        </w:rPr>
        <w:t>
      3) вблизи водных объектов, лесных массивов и на озелененных территориях общего пользования, представляющих ландшафтную ценность.</w:t>
      </w:r>
    </w:p>
    <w:p>
      <w:pPr>
        <w:spacing w:after="0"/>
        <w:ind w:left="0"/>
        <w:jc w:val="both"/>
      </w:pPr>
      <w:r>
        <w:rPr>
          <w:rFonts w:ascii="Times New Roman"/>
          <w:b w:val="false"/>
          <w:i w:val="false"/>
          <w:color w:val="000000"/>
          <w:sz w:val="28"/>
        </w:rPr>
        <w:t>
      Коэффициенты применяются к тем участкам населенного пункта, где имеется такая ценность.</w:t>
      </w:r>
    </w:p>
    <w:p>
      <w:pPr>
        <w:spacing w:after="0"/>
        <w:ind w:left="0"/>
        <w:jc w:val="both"/>
      </w:pPr>
      <w:r>
        <w:rPr>
          <w:rFonts w:ascii="Times New Roman"/>
          <w:b w:val="false"/>
          <w:i w:val="false"/>
          <w:color w:val="000000"/>
          <w:sz w:val="28"/>
        </w:rPr>
        <w:t>
      Значение коэффициентов факторов и подфакторов пятой и шестой групп определяются как факторы негативного воздействия антропогенных процессов, состояние окружающей среды, санитарные, микроклиматические, инженерно-геологические условия, степень подверженности разрушительным природным и другим воздействиям в случае возможности их установления расчетным путем на основании данных соответствующих уполномоченных государственных органов.</w:t>
      </w:r>
    </w:p>
    <w:bookmarkStart w:name="z17" w:id="18"/>
    <w:p>
      <w:pPr>
        <w:spacing w:after="0"/>
        <w:ind w:left="0"/>
        <w:jc w:val="left"/>
      </w:pPr>
      <w:r>
        <w:rPr>
          <w:rFonts w:ascii="Times New Roman"/>
          <w:b/>
          <w:i w:val="false"/>
          <w:color w:val="000000"/>
        </w:rPr>
        <w:t xml:space="preserve"> 3. Расчет коэффициентов зонирования</w:t>
      </w:r>
    </w:p>
    <w:bookmarkEnd w:id="18"/>
    <w:bookmarkStart w:name="z18" w:id="19"/>
    <w:p>
      <w:pPr>
        <w:spacing w:after="0"/>
        <w:ind w:left="0"/>
        <w:jc w:val="both"/>
      </w:pPr>
      <w:r>
        <w:rPr>
          <w:rFonts w:ascii="Times New Roman"/>
          <w:b w:val="false"/>
          <w:i w:val="false"/>
          <w:color w:val="000000"/>
          <w:sz w:val="28"/>
        </w:rPr>
        <w:t>
      9. В результате наложения факторов и подфакторов корректируются границы оценочных участков. На основании полученной информации выполняется описание каждого из перечисленных факторов для присвоения оценочной зоне значения каждого из действующих на ее территории факторов.</w:t>
      </w:r>
    </w:p>
    <w:bookmarkEnd w:id="19"/>
    <w:p>
      <w:pPr>
        <w:spacing w:after="0"/>
        <w:ind w:left="0"/>
        <w:jc w:val="both"/>
      </w:pPr>
      <w:r>
        <w:rPr>
          <w:rFonts w:ascii="Times New Roman"/>
          <w:b w:val="false"/>
          <w:i w:val="false"/>
          <w:color w:val="000000"/>
          <w:sz w:val="28"/>
        </w:rPr>
        <w:t>
      По каждой оценочной зоне рассчитывается коэффициент зонирования относительной ценности недвижимости и определяется по формуле:</w:t>
      </w:r>
    </w:p>
    <w:p>
      <w:pPr>
        <w:spacing w:after="0"/>
        <w:ind w:left="0"/>
        <w:jc w:val="both"/>
      </w:pPr>
      <w:r>
        <w:rPr>
          <w:rFonts w:ascii="Times New Roman"/>
          <w:b w:val="false"/>
          <w:i w:val="false"/>
          <w:color w:val="000000"/>
          <w:sz w:val="28"/>
        </w:rPr>
        <w:t>
      К зон = К1 + К2 + КЗ + К4 - К5 - К6,</w:t>
      </w:r>
    </w:p>
    <w:p>
      <w:pPr>
        <w:spacing w:after="0"/>
        <w:ind w:left="0"/>
        <w:jc w:val="both"/>
      </w:pPr>
      <w:r>
        <w:rPr>
          <w:rFonts w:ascii="Times New Roman"/>
          <w:b w:val="false"/>
          <w:i w:val="false"/>
          <w:color w:val="000000"/>
          <w:sz w:val="28"/>
        </w:rPr>
        <w:t>
      где: Kl, К2, КЗ, К4 - группа значений повышающего воздействия;</w:t>
      </w:r>
    </w:p>
    <w:p>
      <w:pPr>
        <w:spacing w:after="0"/>
        <w:ind w:left="0"/>
        <w:jc w:val="both"/>
      </w:pPr>
      <w:r>
        <w:rPr>
          <w:rFonts w:ascii="Times New Roman"/>
          <w:b w:val="false"/>
          <w:i w:val="false"/>
          <w:color w:val="000000"/>
          <w:sz w:val="28"/>
        </w:rPr>
        <w:t>
      К5, К6 - группа значений понижающего воздействия.</w:t>
      </w:r>
    </w:p>
    <w:p>
      <w:pPr>
        <w:spacing w:after="0"/>
        <w:ind w:left="0"/>
        <w:jc w:val="both"/>
      </w:pPr>
      <w:r>
        <w:rPr>
          <w:rFonts w:ascii="Times New Roman"/>
          <w:b w:val="false"/>
          <w:i w:val="false"/>
          <w:color w:val="000000"/>
          <w:sz w:val="28"/>
        </w:rPr>
        <w:t>
      При этом максимальное значение коэффициента зонирования принимается равным 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расчета</w:t>
            </w:r>
            <w:r>
              <w:br/>
            </w:r>
            <w:r>
              <w:rPr>
                <w:rFonts w:ascii="Times New Roman"/>
                <w:b w:val="false"/>
                <w:i w:val="false"/>
                <w:color w:val="000000"/>
                <w:sz w:val="20"/>
              </w:rPr>
              <w:t>коэффициента зонирования</w:t>
            </w:r>
          </w:p>
        </w:tc>
      </w:tr>
    </w:tbl>
    <w:bookmarkStart w:name="z20" w:id="20"/>
    <w:p>
      <w:pPr>
        <w:spacing w:after="0"/>
        <w:ind w:left="0"/>
        <w:jc w:val="left"/>
      </w:pPr>
      <w:r>
        <w:rPr>
          <w:rFonts w:ascii="Times New Roman"/>
          <w:b/>
          <w:i w:val="false"/>
          <w:color w:val="000000"/>
        </w:rPr>
        <w:t xml:space="preserve"> Группы, факторы и подфакторы относительной ценности</w:t>
      </w:r>
      <w:r>
        <w:br/>
      </w:r>
      <w:r>
        <w:rPr>
          <w:rFonts w:ascii="Times New Roman"/>
          <w:b/>
          <w:i w:val="false"/>
          <w:color w:val="000000"/>
        </w:rPr>
        <w:t>недвижимости и их значения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9037"/>
        <w:gridCol w:w="2348"/>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(К)</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факторов и подфакторов относительной</w:t>
            </w:r>
          </w:p>
          <w:p>
            <w:pPr>
              <w:spacing w:after="20"/>
              <w:ind w:left="20"/>
              <w:jc w:val="both"/>
            </w:pPr>
            <w:r>
              <w:rPr>
                <w:rFonts w:ascii="Times New Roman"/>
                <w:b w:val="false"/>
                <w:i w:val="false"/>
                <w:color w:val="000000"/>
                <w:sz w:val="20"/>
              </w:rPr>
              <w:t>
ценности недвижимости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населения к центру.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0,80-1,20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центральным инженерным оборудованием и благоустройством территории, транспортная доступность:</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Твердое покрытие улиц и проездов</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к остановкам общественного городского и пригородного пассажирского транспорта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границах оценочной зоны объектов обслуживания общегородского, районного значения: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Детских дошкольных учреждений</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Общеобразовательных школ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Учреждений здравоохранения, культуры, искусства, спорта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Предприятий торговли, общественного питания и бытового обслуживания местного значения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зон, имеющих особый правовой статус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окружающей среды, санитарные и микроклиматические условия учитываются с понижающим коэффициентом (минус):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воздушного бассейна, высокая загазованность, задымленность</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территории: наличие мусорных свалок, завалы промышленными отходами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водного объекта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шумового режима: наличие железнодорожных, трамвайных путей, пассажирских вокзалов, портов, рынков, трассы большегрузного транспорта и скоростные трассы с большим скоплением автотранспорта (отдаленность от объекта оценки не более 50 м.), авиалинии (отдаленность от объекта оценки не более 1000 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условия строительства и степень подверженности разрушительным природным и другим воздействиям</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воздействия электромагнитных полей, радиации (радиостанции, радиотелевизионные передающие и радиолокационные станции, воздушные высоковольтные линии электропередач)</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Подтопление, заболоченность, высокое состояние грунтовых вод, сейсмичность, сели и прочие природные факторы.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