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66d9" w14:textId="d766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30 декабря 2014 года № 549 "Об утверждении Правил формирования студенческих и школьных лиг, организации и проведения спортивных мероприятий среди студенческих и школьных лиг"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января 2016 года № 78. Зарегистрирован в Министерстве юстиции Республики Казахстан 25 февраля 2016 года № 13251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декабря 2014 года № 549 «Об утверждении Правил формирования студенческих и школьных лиг, организации и проведения спортивных мероприятий среди студенческих и школьных лиг» (зарегистрированный в Реестре государственной регистрации нормативных правовых актов под № 10192, опубликованный в газете «Казахстанская правда» от 5 мая 2015 года № 83 (27959))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студенческих и школьных лиг, организации и проведения спортивных мероприятий среди студенческих и школьных лиг»,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Студенческая лига формируется из групп-команд обучающихся организаций образования, реализующих образовательные программы технического и профессионального, послесреднего и высшего образования (далее - групп-команды).»;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Групп-команды формируются из числа обучающихся организации образования, реализующей образовательные программы технического профессионального, послесреднего и высшего образования по заявке преподавателя физической культуры. В групп-команду включаются обучающиеся одной группы организации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молодежной политики (Р. Карибжанова)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января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