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5589" w14:textId="c7c5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56. Зарегистрировано в Министерстве юстиции Республики Казахстан 24 февраля 2016 года № 13216. Утратило силу постановлением Правления Национального Банка Республики Казахстан от 30 мая 2016 года № 147.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3924)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и методике расчетов пруденциальных нормативов для банков второго уровня,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Собственный капитал рассчитывается как сумма капитала первого уровня и капитала второго уровня за минусом положительной разницы между суммой депозитов физических лиц и собственным капиталом согласно данным бухгалтерского баланса, умноженным на 5,5.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капитала, указанного в части первой настоящего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депозитов физических лиц в иностранной валюте рассчитывается по официальному курсу тенге к иностранной валюте, установленному Национальным Банком Республики Казахстан на 1 января 2016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 между суммой депозитов физических лиц и собственным капиталом согласно данным бухгалтерского баланса включается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– 0 (ноль)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февраля 2016 года – 20 (двадцать)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марта 2016 года – 40 (сорок)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2016 года – 60 (шестьдесят)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мая 2016 года – 80 (восемьдесят)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2016 года - 100 (сто)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частями первой и второй настоящего пункта, не распространяются на жилищный строительный сберегательный банк, собственный капитал которого рассчитывается как сумма капитала первого уровня и капитала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Инструкции, помимо долгосрочных кредитных рейтинговых оценок агентства Standard&amp;Poor's, уполномоченным органом также признаются долгосрочные кредитные рейтинговые оценки агентств Moody's Investors Service и Fitch (далее - другие рейтинговые агентства).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Инструкции к международным финансовым организациям относятся следующие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(the Asian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(the African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(the Council of Europe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(Eurasian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(the European Bank for Reconstruction and Development);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(the European Investment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(the Islamic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(ICD);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(the Inter-American Development Bank);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ассоциация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(the International Finance Corporation);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(the International Bank for Reconstruction and Development);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центр по урегулированию инвестиционных споров;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Многостороннее агентство гарантии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(the Nordic Investment Bank).".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