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ee2db" w14:textId="dcee2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мониторинга обеспечения информационной безопасности, защиты и безопасного функционирования объектов информатизации "электронного правительства"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инвестициям и развитию Республики Казахстан от 26 января 2016 года № 66. Зарегистрирован в Министерстве юстиции Республики Казахстан 23 февраля 2016 года № 13178. Утратил силу приказом Министра оборонной и аэрокосмической промышленности Республики Казахстан от 28 марта 2018 года № 52/НҚ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оборонной и аэрокосмической промышленности РК от 28.03.2018 </w:t>
      </w:r>
      <w:r>
        <w:rPr>
          <w:rFonts w:ascii="Times New Roman"/>
          <w:b w:val="false"/>
          <w:i w:val="false"/>
          <w:color w:val="000000"/>
          <w:sz w:val="28"/>
        </w:rPr>
        <w:t>№ 52/НҚ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32)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ноября 2015 года "Об информатизации"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мониторинга обеспечения информационной безопасности, защиты и безопасного функционирования объектов информатизации "электронного правительства".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Комитету связи, информатизации и информации Министерства по инвестициям и развитию Республики Казахстан (Казангап Т.Б.)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печатном и электронном виде на официальное опубликование в периодические печатные издания и информационно-правовую систему "Әділет" в течение десяти календарных дней после его государственной регистрации в Министерстве юстиции Республики Казахстан, а также в Республиканский центр правовой информации в течение десяти календарных дней со дня получения зарегистрированного приказа для включения в эталонный контрольный банк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течении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пункта 2 настоящего приказа.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приказа возложить на курирующего вице-министра по инвестициям и развитию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Настоящий приказ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142"/>
        <w:gridCol w:w="5158"/>
      </w:tblGrid>
      <w:tr>
        <w:trPr>
          <w:trHeight w:val="30" w:hRule="atLeast"/>
        </w:trPr>
        <w:tc>
          <w:tcPr>
            <w:tcW w:w="71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развитию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Касымбек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января 2016 года № 66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проведения мониторинга обеспечения информационной безопасности,</w:t>
      </w:r>
      <w:r>
        <w:br/>
      </w:r>
      <w:r>
        <w:rPr>
          <w:rFonts w:ascii="Times New Roman"/>
          <w:b/>
          <w:i w:val="false"/>
          <w:color w:val="000000"/>
        </w:rPr>
        <w:t>защиты и безопасного функционирования объектов информатизации</w:t>
      </w:r>
      <w:r>
        <w:br/>
      </w:r>
      <w:r>
        <w:rPr>
          <w:rFonts w:ascii="Times New Roman"/>
          <w:b/>
          <w:i w:val="false"/>
          <w:color w:val="000000"/>
        </w:rPr>
        <w:t>"электронного правительства"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Настоящие Правила проведения мониторинга обеспечения информационной безопасности, защиты и безопасного функционирования объектов информатизации "электронного правительства" (далее – Правила) разработаны в соответствии с подпунктом 32)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ноября 2015 года "Об информатизации" (далее – Закон) и определяют порядок проведения мониторинга обеспечения информационной безопасности, защиты и безопасного функционирования объектов информатизации "электронного правительства".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Мониторинг обеспечения информационной безопасности, защиты и безопасного функционирования объектов информатизации "электронного правительства" (далее – Мониторинг) проводится посредством системы мониторинга обеспечения информационной безопасности объектов информатизации "электронного правительства" в целях выявления уязвимостей, событий информационной безопасности, угроз и инцидентов информационной безопасности объектов информатизации "электронного правительства" и реагирования на них.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В настоящих Правилах используются следующие понятия и сокращения: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владелец объектов информатизации (далее – владелец) – субъект, которому собственник объектов информатизации предоставил права владения и пользования объектами информатизации в определенных законом или соглашением пределах и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сфере информатизации (далее – уполномоченный орган) – центральный исполнительный орган, осуществляющий руководство и межотраслевую координацию в сфере информатизации и "электронного правительства";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событие информационной безопасности – состояние объектов информатизации, свидетельствующее о возможном нарушении существующей политики безопасности либо о прежде неизвестной ситуации, которая может иметь отношение к безопасности объектов информатизации;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инцидент информационной безопасности (далее – инцидент) – отдельно или серийно возникающие сбои в работе информационно-коммуникационной инфраструктуры или отдельных ее объектов, создающие угрозу их надлежащему функционированию и (или) условия для незаконного получения, копирования, распространения, модификации, уничтожения или блокирования электронных информационных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угроза информационной безопасности (далее – угроза) – действия способные оказать негативное воздействие на конфиденциальность, целостность и доступность объекта информатизации;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инструментальное обследование – комплекс мероприятий, направленных на выявление уязвимостей;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7)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техническая служба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- ГТС) – республиканское государственное предприятие на праве хозяйственного ведения, созданное по решению Правительства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событие — идентифицированное состояние объекта информатизации;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агент системы сбора событий (далее – агент) – программное обеспечение, устанавливаемое на активное серверное, сетевое и (или) специализированное оборудование для сбора событий;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уязвимость – недостаток в программном обеспечении или средстве защиты информации, использование которого нарушает работоспособность данного программного обеспечения и (или) средства защиты информации либо приводит к несанкционированным действиям в обход установленных разрешений в программном обеспечении и (или) в средстве защиты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 пользователь – субъект информатизации, использующий объекты информатизации для выполнения конкретной функции и (или) задачи;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12) </w:t>
      </w:r>
      <w:r>
        <w:rPr>
          <w:rFonts w:ascii="Times New Roman"/>
          <w:b w:val="false"/>
          <w:i w:val="false"/>
          <w:color w:val="000000"/>
          <w:sz w:val="28"/>
        </w:rPr>
        <w:t>объекты информатизации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"электронного правительства" – государственные электронные информационные </w:t>
      </w:r>
      <w:r>
        <w:rPr>
          <w:rFonts w:ascii="Times New Roman"/>
          <w:b w:val="false"/>
          <w:i w:val="false"/>
          <w:color w:val="000000"/>
          <w:sz w:val="28"/>
        </w:rPr>
        <w:t>ресурсы</w:t>
      </w:r>
      <w:r>
        <w:rPr>
          <w:rFonts w:ascii="Times New Roman"/>
          <w:b w:val="false"/>
          <w:i w:val="false"/>
          <w:color w:val="000000"/>
          <w:sz w:val="28"/>
        </w:rPr>
        <w:t xml:space="preserve">, программное обеспечение государственных органов и информационно-коммуникационная </w:t>
      </w:r>
      <w:r>
        <w:rPr>
          <w:rFonts w:ascii="Times New Roman"/>
          <w:b w:val="false"/>
          <w:i w:val="false"/>
          <w:color w:val="000000"/>
          <w:sz w:val="28"/>
        </w:rPr>
        <w:t>инфраструктура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"электронного правительства"</w:t>
      </w:r>
      <w:r>
        <w:rPr>
          <w:rFonts w:ascii="Times New Roman"/>
          <w:b w:val="false"/>
          <w:i w:val="false"/>
          <w:color w:val="000000"/>
          <w:sz w:val="28"/>
        </w:rPr>
        <w:t>, в том числе негосударственные информационные системы, интегрируемые с информационными системами государственных органов или предназначенные для формирования государственных электронных информационных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13) система мониторинга обеспечения информационной безопасности объектов информатизации "электронного правительства" (далее – система мониторинга обеспечения информационной безопасности) – организационные и технические мероприятия, направленные на проведение мониторинга безопасного использования информационно-коммуникационных технологий, включая мониторинг событий информационной безопасности и реагирование на инциденты информационной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Иные понятия, используемые в настоящих Правилах, применяются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мониторинга обеспечения информационной</w:t>
      </w:r>
      <w:r>
        <w:br/>
      </w:r>
      <w:r>
        <w:rPr>
          <w:rFonts w:ascii="Times New Roman"/>
          <w:b/>
          <w:i w:val="false"/>
          <w:color w:val="000000"/>
        </w:rPr>
        <w:t>безопасности, защиты и безопасного функционирования объектов</w:t>
      </w:r>
      <w:r>
        <w:br/>
      </w:r>
      <w:r>
        <w:rPr>
          <w:rFonts w:ascii="Times New Roman"/>
          <w:b/>
          <w:i w:val="false"/>
          <w:color w:val="000000"/>
        </w:rPr>
        <w:t>информатизации "электронного правительства"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4. Мониторингу подлежат введенные в промышленную эксплуатацию объекты информатизации "электронного правительства", за исключением: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электронных информационных ресурсов, содержащих сведения, составляющие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государственные секреты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содержащие, обрабатывающие и (или) передающие сведения, отнесенные государственным органом к </w:t>
      </w:r>
      <w:r>
        <w:rPr>
          <w:rFonts w:ascii="Times New Roman"/>
          <w:b w:val="false"/>
          <w:i w:val="false"/>
          <w:color w:val="000000"/>
          <w:sz w:val="28"/>
        </w:rPr>
        <w:t>разведывательной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, контрразведывательной, </w:t>
      </w:r>
      <w:r>
        <w:rPr>
          <w:rFonts w:ascii="Times New Roman"/>
          <w:b w:val="false"/>
          <w:i w:val="false"/>
          <w:color w:val="000000"/>
          <w:sz w:val="28"/>
        </w:rPr>
        <w:t>оперативно-розыскной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интернет-ресурсов и информационных систем Национального Банка Республики Казахстан, не интегрируемых с объектами информационно-коммуникационной инфраструктуры "электронного правительства";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электронных информационных ресурсов, информационно-коммуникационной инфраструктуры Администрации Президента Республики Казахстан, Канцелярии Премьер-Министра Республики Казахстан, Управления Делами Президента Республики Казахстан и его ведомств, Комитета Национальной Безопасности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В целях проведения ГТС работ по Мониторингу, собственник или владелец организует передачу журналов регистрации событий объектов информатизации "электронного правительства" в электронном виде в единую систему сбора журналов регистрации событий собственника или владельца, в случае если объект информатизации "электронного правительства" является распределенным также и со всех территориальных подразделений собственника или владельца.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6. Собственник или владелец направляет в ГТС заявку о необходимости проведения мониторинга обеспечения информационной безопасности, защиты и безопасного функционирования объекта информатизации "электронного правительства" (далее – заявка) с предоставлением сведений об объекте информатизации "электронного правительства"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приложением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описание по организации системы сбора журналов регистрации событий;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информация по организации доступа работникам ГТС от собственника или владельца к объекту информатизации "электронного правительства";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перечень технических и программных средств объекта информатизации "электронного правительства" по форме, согласно перечню технических средств объекта информатизации "электронного правительства" и перечню программных средств объекта информатизации "электронного правительства"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приложениями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утвержденный собственником или владельцем и заверенный его подписью и печатью;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общая функциональная схема объекта информатизации "электронного правительства" с указанием используемых уникальных сетевых адресов серверов и рабочей станции администратора, утвержденная собственником или владельцем и заверенная его подписью и печатью и пояснительная записка к общей функциональной схеме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архитектура объекта информатизации "электронного правительства"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копии технической документации, утвержденной собственником или владельцем, заверенной его подписью и печатью, указанной в перечне технической документации,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7. После получения заявки ГТС в течение трех рабочих дней осуществляет проверку соответствия заявки и прилагаемых к заявке документов в соответствии с требованиями, установленными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соответствии заявки и приложенных документов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ГТС в течение трех рабочих дней после получения заявки уведомляет о проведении Мониторинга собственника или владельца.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Для проведения ГТС работ по Мониторингу, собственник или владелец организует: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круглосуточный доступ работникам ГТС в здание серверного центра и в служебные помещения собственника или владельца, в которых размещены объекты информатизации "электронного правительства", а также доступ работникам ГТС к объекту информатизации "электронного правительства" и системе сбора журналов регистрации событий на основании списка работников, который направляется официальным письмом ГТС ежегодно и при его изменении;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два рабочих места для работников ГТС с предоставлением круглосуточного сетевого доступа к объектам информатизации, в отношении которых ими проводится Мониторинг.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Доступ к системам собственника или владельца работникам ГТС предоставляется в сопровождении представителей собственника или владельца.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ГТС при проведении Мониторинга осуществляет: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мониторинг обеспечения информационной безопасности объектов информатизации "электронного правительства" посредством системы мониторинга обеспечения информационной безопасности, включающий в себя: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установку агентов с предоставлением собственнику либо владельцу описания общего принципа их работы, запускаемых службах внутри операционных систем, используемых портах, необходимых настройках и дополнительных программных модулях или библиотеках;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запросу собственника или владельца, ГТС осуществляет установку агентов на тестовом оборудовании, предоставляемом собственником или владельцем, в целях исключения сбоев в работе объекта информатизации;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постоянной основе сбор событий в системе управления событиями информационной безопасностью, их обработку, анализ и уведомление о них собственника или владельца;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постоянной основе выявление инцидентов и уведомление о них собственника или владельца в течение 15 минут с момента выявления ГТС инцидента в рабочее время;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анализ инцидентов совместно с собственником или владельцем;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выдачу рекомендаций собственнику или владельцу по устранению инцидентов и дальнейшему их предотвращению в течение одного рабочего дня с момента выявления инцидента ГТС;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определения инцидента на объекте информатизации "электронного правительства", направление работника ГТС, находящегося на рабочем месте, обеспеченном собственником или владельцем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к месту инцидента при определении необходимости ГТС и собственником или владельцем;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уведомление уполномоченного органа о не устранении собственником или владельцем инцидента в течение пяти рабочих дней с момента выявления данного инцидента;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мониторинг обеспечения защиты объектов информатизации "электронного правительства", включающий в себя: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инструментальное обследование объектов информатизации "электронного правительства" из локальной сети серверов, внутренней локальной сети собственника или владельца и Интернета согласно графику проведения работ по Мониторингу, предварительно согласованному с собственником или владельцем (далее – график);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выявление программных и технических уязвимостей согласно графику;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ежегодный анализ конфигурации активного сетевого и серверного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тестирование на проникновение с эксплуатацией уязвимостей при определении необходимости уполномоченным органом и по предварительному письменному согласованию с собственником или владельцем;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предоставление в течении пяти рабочих дней после окончания работ по инструментальному обследованию собственника или владельца информации о результатах инструментального обследования, с указанием данных об уникальных уязвимостях и рекомендациями по устранению выявленных уязвимостей, официальным письмом на электронном носителе в форматах PDF и XLS;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необходимости проведение консультаций и разъяснений собственникам или владельцам по вопросам устранения уязвимостей работником ГТС, находящимся на рабочем месте, обеспеченном собственником или владельцем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мониторинг обеспечения безопасного функционирования объектов информатизации "электронного правительства", включающий в себя: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направление собственнику или владельцу рекомендаций по устранению угроз при их выявлении;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проверку исполнения технической документации,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направление собственнику или владельцу рекомендаций по проведению необходимых мероприятий по результатам проверки исполнения технической документации,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Собственник или владелец при проведении ГТС мониторинга обеспечения информационной безопасности объектов информатизации "электронного правительства":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организует подключение системы сбора журналов регистрации событий объектов информатизации "электронного правительства" к системе управления событиями информационной безопасностью ГТС;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постоянной основе сопровождает журнал инцидентов на объектах информатизации "электронного правительства" и информирует ГТС об их обнаружении в течение пятнадцати минут с момента выявления;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постоянной основе реализует процедуру уведомления об инцидентах и принимает меры по их устранению в соответствии с технической документацией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срок не позднее десяти рабочих дней с момента обнаружения инцидента предоставляет в ГТС информацию о причинах возникновения данных инцидентов, принятых мерах, направленных на предотвращение повторного появления данного инцидента, понесенном ущербе (при наличии).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Собственник или владелец при проведении ГТС мониторинга обеспечения защиты объектов информатизации "электронного правительства":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течение одного месяца после получения результатов инструментального обследования устраняет уязвимости и направляет в ГТС отчет об их устранении;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неустранения уязвимости относит ее к одной из категорий причин неустранения уязвимости и проводит действия в соответствии с перечнем категорий причин неустранения уязвимости и действий собственника или владельца в случае ее неустранения согласно 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 Собственник или владелец при проведении ГТС мониторинга обеспечения безопасного функционирования объектов информатизации "электронного правительства":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постоянной основе анализирует выявленные ГТС угрозы и для предотвращения их повторного возникновения в последующем принимает меры по их устранению;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течение одного месяца после получения информации об угрозах уведомляет ГТС о принятых мерах по устранению угроз;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проводит необходимые мероприятия в соответствии с рекомендациями ГТС;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ежегодно направляет в ГТС информацию по объектам информатизации, введенным в промышленную эксплуатацию.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13. По результатам Мониторинга ГТС направляет в уполномоченный орган сводную информацию по выявленным уязвимостям, угрозам, событиям информационной безопасности и инцидентам, а также о мерах принятых собственником или владельцем по их устранению ежеквартально, не позднее пятого числа месяца, следующего за отчетным кварталом.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безопасности, защиты и безопасного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информатизации "электронного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 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о проведении мониторинга обеспечения информационной безопасности,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 защиты и безопасного функционирования объекта информатизации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"электронного правительства"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Местонахождение объекта информатизации "электронного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Контактная информация ответственных лиц собственника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владельца.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Информация о наличии доступа работникам ГТС к объекту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информатизации "электронного правительства".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Информация о наличии точки подключения к Единой транспортной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среде государственных органов и пропускной способности канала связи.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Информация о наличии системы сбора журналов регистрации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событий, включая ведение в электронном виде журналов событий всех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объектов информатизации "электронного правительства" со всех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территориальных подразделений в центральное подразделение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собственника или владельца.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Информация о внешнем IP-адресе (или IP-адресах), доменном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имени (при наличии).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безопасности, защиты и безопасного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информатизации "электронного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 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технических средств объекта информатизации "электронного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4"/>
        <w:gridCol w:w="589"/>
        <w:gridCol w:w="825"/>
        <w:gridCol w:w="1995"/>
        <w:gridCol w:w="589"/>
        <w:gridCol w:w="1362"/>
        <w:gridCol w:w="3317"/>
        <w:gridCol w:w="801"/>
        <w:gridCol w:w="2208"/>
      </w:tblGrid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п\п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Производитель, модель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Серийный/ инвентарный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сертификата по информационной безопасности (при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Физическое месторасположение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(согласно технической документации)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Основное функциональное назначение(согласно программной документации к объекту информатизации "электронного правительства")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методы защиты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Разработчик, название, версия (встроенного программного обеспечения)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безопасности, защиты и безопасного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информатизации "электронного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 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программных средств объекта информатизации "электронного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1"/>
        <w:gridCol w:w="893"/>
        <w:gridCol w:w="893"/>
        <w:gridCol w:w="893"/>
        <w:gridCol w:w="2705"/>
        <w:gridCol w:w="2065"/>
        <w:gridCol w:w="2705"/>
        <w:gridCol w:w="1215"/>
      </w:tblGrid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п\п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Разработчик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установки (из перечня технических средств)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(согласно программной документации)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Основное функциональное назначение (согласно программной документации)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методы защиты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безопасности, защиты и безопасного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информатизации "электронного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 Перечень технической документации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Политика информационной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Методика оценки рисков информационной безопасности. Каталог угроз (рисков) информационной безопасности. План обработки угроз (рисков) информационной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Правила идентификации, классификации и маркировки активов, связанных со средствами обработки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Правила по обеспечению непрерывной работы активов, связанных со средствами обработки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Правила инвентаризации и паспортизации средств вычислительной техники, телекоммуникационного оборудования и программного обеспечения.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Правила проведения внутреннего аудита информационной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Правила использования криптографических средств защиты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Правила разграничения прав доступа к электронным информационным ресурсам.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Правила использования Интернета и электронной почты.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Правила организации процедуры аутентификации.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Правила организации антивирусного контроля.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Правила организации физической защиты средств обработки информации и безопасной среды функционирования электронных информационных ресурсов.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Регламент резервного копирования и восстановления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Инструкция о порядке действий пользователей по реагированию на инциденты информационной безопасности и во внештатных (кризисных) ситуациях.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безопасности, защиты и безопасного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информатизации "электронного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 Категории причин неустранения уязвимости и действия собственника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владельца в случае ее неустранения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11064"/>
      </w:tblGrid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 причин неустранения уязвимости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собственника или владельца в случае неустранения уязвимости и отнесения ее к соответствующей категории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Производственная необходимость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Собственник или владелец отмечает в отчете об устранениях уязвимостей предпринятые меры по устранению уязвимости, причины и характер требуемых изменений, сроки устранения уязвимости, не превышающие шести месяцев с момента первого обнаружения;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Уязвимость нулевого дня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Собственник или владелец отмечает в отчете об устранениях проведенные мероприятия по снижению вероятности эксплуатации уязвимости;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Ложное срабатывание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Собственник или владелец отмечает в отчете об устранениях уязвимостей описание уязвимости и состояния объекта информатизации "электронного правительства", а также предпринятые меры по устранению уязвимости.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