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77d" w14:textId="b77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2015 года № 285. Зарегистрировано Департаментом юстиции Западно-Казахстанской области 2 ноября 2015 года № 4132.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№285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стоимости удобрений (за исключением органических)"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21 июля 2015 года №4-4/679 "Об утверждении стандарта государственной услуги "Субсидирование стоимости удобрений (за исключением органических)" (зарегистрирован в Министерстве юстиции Республики Казахстан 26 августа 2015 года №11946)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 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Причитающиеся субсидии перечисляются на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услугополучателей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отечественных производителей удобрений для удешевления стоимости удобрений (за исключением органических), реализованных услугополучателям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 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 – ЭЦП),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"личном кабинете" производителя удобрений.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подтверждение заявки (переводной заявки);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осуществляет оплату субсидий.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осуществление оплаты субсидий.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отдел финансирования агропромышленного комплекса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 1 –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 1 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 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 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 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 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 3 – проверка услугодателем заявки (переводной заявки) представленной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Обжалования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