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9d74" w14:textId="6129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июня 2015 года № 25-6. Зарегистрировано Департаментом юстиции Западно-Казахстанской области 17 июля 2015 года № 3954. Утратило силу решением Западно-Казахстанского областного маслихата от 28 сентября 2018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налогах и других обязательных платежах в бюджет" (Налоговый кодекс) от 10 декабря 2008 года,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 о. Министра сельского хозяйства Республики Казахстан от 12 июня 2009 года № 344 "Об 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и на основании расчетов, составленных местным исполнительным органом Западно-Казахстанской области, согласованных с Западно-Казахстанской областной территориальной инспекцией лесного хозяйства и животного мира,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ставки платы за лесные пользования на участках государственного лесного фонда (за исключением ставок за древесину, отпускаемую на корню):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за побочные лесные пользования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на заготовку 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за пользование участками государственного лесного фонда в культурно-оздоровительных, рекреационных, туристских и спортивных целях, для нужд охотничьего хозяйства, в научно-исследовательских целях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Настоящее решение распространяется на государственных лесовладельцев, физических и юридических лиц, получивших право лесопользования в порядке, установленном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решения возложить на постоянную комиссию областного маслихата по вопросам экологии, природных и техногенных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Западно-Казахстанскому областному маслихату (А. Султанов)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2015 года № 25-6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>за побочные лесные пользования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5742"/>
        <w:gridCol w:w="1579"/>
        <w:gridCol w:w="3288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 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(коэф. 1,2)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(коэф. 0,9)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(коэф. 0,7)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одна голова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1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2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одного улья на территории государственного лесного фонда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/>
          <w:color w:val="000000"/>
          <w:sz w:val="28"/>
        </w:rPr>
        <w:t xml:space="preserve"> *ставки платы за использование участков государственного лесного фонда для огородничества, бахчеводства и выращивания иных сельскохозяйственных культур устанавливаются на уровне ставок земельного налога по качест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>у почв пропорционально баллам бонитета, определенных налоговым законодательством.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2015 года № 25-6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>на заготовку второстепенных древесных ресурсов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583"/>
        <w:gridCol w:w="1239"/>
        <w:gridCol w:w="8239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10 % от базовых ставок платы за 1 плотный кубометр дровяной древесины соответствующей породы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20 % от базовых ставок платы за 1 плотный кубометр дровяной древесины соответствующей породы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15 % от базовых ставок платы за 1 плотный кубометр дровяной древесины соответствующей породы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10 % от базовых ставок платы за 1 плотный кубометр дровяной древесины соответствующей породы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5 % от базовых ставок платы за 1 плотный кубометр дровяной древесины соответствующей породы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деревьев и кустарников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килограмм 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30 % от базовых ставок платы за 1 плотный кубометр дровяной древесины соответствующей породы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2015 года № 25-6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пользование участками государственного лесного фонда в </w:t>
      </w:r>
      <w:r>
        <w:br/>
      </w:r>
      <w:r>
        <w:rPr>
          <w:rFonts w:ascii="Times New Roman"/>
          <w:b/>
          <w:i w:val="false"/>
          <w:color w:val="000000"/>
        </w:rPr>
        <w:t xml:space="preserve">культурно-оздоровительных, рекреационных, туристских и спортивных целях, </w:t>
      </w:r>
      <w:r>
        <w:br/>
      </w:r>
      <w:r>
        <w:rPr>
          <w:rFonts w:ascii="Times New Roman"/>
          <w:b/>
          <w:i w:val="false"/>
          <w:color w:val="000000"/>
        </w:rPr>
        <w:t>для нужд охотничьего хозяйства, в научно-исследовательских целях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812"/>
        <w:gridCol w:w="1850"/>
        <w:gridCol w:w="1100"/>
        <w:gridCol w:w="1846"/>
        <w:gridCol w:w="2684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25"/>
        </w:tc>
        <w:tc>
          <w:tcPr>
            <w:tcW w:w="3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лесопользо-вание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лесопользо-вание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краткосрочное лесопользо-вание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лесопользо-вание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в культурно-оздоровительных целях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человек в день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в рекреационных, туристских и спортивных целях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человек в день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для нужд охотничьего хозяйства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 ставка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в научно-исследовательских целях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человек в день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 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коэф. – коэффициент.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