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4998" w14:textId="3fd4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семян первой репродукции и гибридов первого поколения по зонам и в разрезе культур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мая 2015 года № 116. Зарегистрировано Департаментом юстиции Западно-Казахстанской области 2 июня 2015 года № 3924.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февраля 2003 года </w:t>
      </w:r>
      <w:r>
        <w:rPr>
          <w:rFonts w:ascii="Times New Roman"/>
          <w:b w:val="false"/>
          <w:i w:val="false"/>
          <w:color w:val="000000"/>
          <w:sz w:val="28"/>
        </w:rPr>
        <w:t>"О семеноводстве"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 утверждении Правил субсидирования развития семеноводства"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минимальные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(использования) семян первой репродукции и гибридов первого поколения по зонам и в разрезе культур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________________А.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08.05.2015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мая 2015 года № 116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семян первой репродукции и гибридов первого поколения по зонам и в разрезе культур в 2015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398"/>
        <w:gridCol w:w="4574"/>
        <w:gridCol w:w="4574"/>
      </w:tblGrid>
      <w:tr>
        <w:trPr>
          <w:trHeight w:val="30" w:hRule="atLeast"/>
        </w:trPr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(первая) - сухостепная зерново-животноводческая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(вторая) - полупустынная животноводческо-зерновая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нормы приобретения (использования) семян первой репродукции и гибридов первого поколения на 1 гектар,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(гибрид)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