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bb67" w14:textId="d57b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2015 год по Бородулихинскому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Бородулихинского районного акимата Восточно-Казахстанской области от 25 августа 2015 года № 208. Зарегистрировано Департаментом юстиции Восточно-Казахстанской области 23 сентября 2015 года № 4151. Утратило силу - постановлением Бородулихинского районного акимата Восточно-Казахстанской области от 26 февраля 2016 года № 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Бородулихинского районного акимата Восточно-Казахстанской области от 26.02.2016 № 35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размеры подушевого финансирования и родительской платы по району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2.Контроль за исполнением настоящего постановления возложить на заместителя акима района Атаеву Р.А.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208 от "25" августа 2015 года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</w:t>
      </w:r>
      <w:r>
        <w:rPr>
          <w:rFonts w:ascii="Times New Roman"/>
          <w:b/>
          <w:i w:val="false"/>
          <w:color w:val="000000"/>
        </w:rPr>
        <w:t>размеры подушевого финансирования и родительской платы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воспитанника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1445"/>
        <w:gridCol w:w="2295"/>
        <w:gridCol w:w="2296"/>
        <w:gridCol w:w="1235"/>
        <w:gridCol w:w="1870"/>
        <w:gridCol w:w="452"/>
        <w:gridCol w:w="809"/>
        <w:gridCol w:w="453"/>
      </w:tblGrid>
      <w:tr>
        <w:trPr/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воспитанников,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