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6267" w14:textId="2c8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6 апреля 2015 года № 37/3-V. Зарегистрировано Департаментом юстиции Восточно-Казахстанской области 30 апреля 2015 года № 3920. Утратило силу - решением Усть-Каменогорского городского маслихата Восточно-Казахстанской области от 27 ноября 2018 года № 37/4-VI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27.11.2018 № 37/4-VI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Усть-Каменогорского городского маслихата от 12 июня 2008 года № 7/2 "О проекте (схеме) зонирования земель города Усть-Каменогорска"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Усть-Каменогорского городского маслихата Восточно-Казахстанской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26/7-VI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ставкам земельного налога: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промышленности, расположенные вне населенных пунктов в границах административного подчинения города Усть-Каменогорска: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зоне - 1,3; по 2 зоне - 1,1;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3 зоне – 0,9; по 4 зоне -0,7;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земли, занятые под постройки, в границах административного подчинения города Усть-Каменогорска: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зоне -1,3; по 2 зоне - 1,2;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4 зоне – 0,8; по 5 зоне – 0,7;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земли населенных пунктов (за исключением придомовых земельных участков) по утвержденным схемам зонирования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 № 37/3-V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ставкам земельного налога на земли населенных пунктов (за исключением придомовых земельных участков) по утвержденным схемам зонирования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866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12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